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E736" w14:textId="77777777" w:rsidR="0033662F" w:rsidRDefault="0033662F" w:rsidP="0033662F">
      <w:pPr>
        <w:pStyle w:val="NOTESPG"/>
        <w:jc w:val="center"/>
        <w:rPr>
          <w:sz w:val="24"/>
          <w:szCs w:val="24"/>
          <w:u w:val="double"/>
        </w:rPr>
      </w:pPr>
      <w:r w:rsidRPr="0033662F">
        <w:rPr>
          <w:sz w:val="24"/>
          <w:szCs w:val="24"/>
          <w:u w:val="double"/>
        </w:rPr>
        <w:t>Presentation to ACEC Ohio</w:t>
      </w:r>
      <w:r>
        <w:rPr>
          <w:sz w:val="24"/>
          <w:szCs w:val="24"/>
          <w:u w:val="double"/>
        </w:rPr>
        <w:t xml:space="preserve"> </w:t>
      </w:r>
    </w:p>
    <w:p w14:paraId="00162250" w14:textId="3766900C" w:rsidR="00772B5D" w:rsidRPr="00D71C9A" w:rsidRDefault="0033662F" w:rsidP="0033662F">
      <w:pPr>
        <w:pStyle w:val="NOTESPG"/>
        <w:jc w:val="center"/>
        <w:rPr>
          <w:b w:val="0"/>
          <w:bCs w:val="0"/>
          <w:sz w:val="22"/>
          <w:szCs w:val="22"/>
          <w:u w:val="none"/>
        </w:rPr>
      </w:pPr>
      <w:r w:rsidRPr="00D71C9A">
        <w:rPr>
          <w:b w:val="0"/>
          <w:bCs w:val="0"/>
          <w:sz w:val="22"/>
          <w:szCs w:val="22"/>
          <w:u w:val="none"/>
        </w:rPr>
        <w:t>(SPG - ODOT External Audits)</w:t>
      </w:r>
    </w:p>
    <w:p w14:paraId="6DE361AC" w14:textId="6C2F0B36" w:rsidR="00A719E5" w:rsidRPr="00A719E5" w:rsidRDefault="000C361D" w:rsidP="00772B5D">
      <w:pPr>
        <w:spacing w:line="240" w:lineRule="auto"/>
        <w:rPr>
          <w:b/>
          <w:bCs/>
          <w:u w:val="single"/>
        </w:rPr>
      </w:pPr>
      <w:r>
        <w:rPr>
          <w:b/>
          <w:bCs/>
          <w:u w:val="single"/>
        </w:rPr>
        <w:t xml:space="preserve">I. </w:t>
      </w:r>
      <w:r w:rsidR="00A719E5" w:rsidRPr="00A719E5">
        <w:rPr>
          <w:b/>
          <w:bCs/>
          <w:u w:val="single"/>
        </w:rPr>
        <w:t>BACKGROUND</w:t>
      </w:r>
      <w:r w:rsidRPr="000C361D">
        <w:rPr>
          <w:b/>
          <w:bCs/>
        </w:rPr>
        <w:t>.</w:t>
      </w:r>
    </w:p>
    <w:p w14:paraId="2CCFBDC5" w14:textId="77777777" w:rsidR="00772B5D" w:rsidRDefault="00913914" w:rsidP="00D71C9A">
      <w:pPr>
        <w:pStyle w:val="ListParagraph"/>
        <w:numPr>
          <w:ilvl w:val="0"/>
          <w:numId w:val="6"/>
        </w:numPr>
        <w:spacing w:after="120" w:line="240" w:lineRule="auto"/>
        <w:contextualSpacing w:val="0"/>
        <w:jc w:val="both"/>
      </w:pPr>
      <w:r>
        <w:t>Federal Acqu</w:t>
      </w:r>
      <w:r w:rsidR="00DE6182">
        <w:t>i</w:t>
      </w:r>
      <w:r>
        <w:t xml:space="preserve">sition Regulation (FAR) </w:t>
      </w:r>
      <w:r w:rsidRPr="00913914">
        <w:t>31.201-5</w:t>
      </w:r>
      <w:r>
        <w:t xml:space="preserve"> (codified at 48 CFR § 31.201-5</w:t>
      </w:r>
      <w:r w:rsidR="00772B5D">
        <w:t>)</w:t>
      </w:r>
    </w:p>
    <w:p w14:paraId="43D54BB8" w14:textId="73555CA3" w:rsidR="00913914" w:rsidRDefault="00913914" w:rsidP="00D71C9A">
      <w:pPr>
        <w:pStyle w:val="ListParagraph"/>
        <w:numPr>
          <w:ilvl w:val="0"/>
          <w:numId w:val="6"/>
        </w:numPr>
        <w:spacing w:after="120" w:line="240" w:lineRule="auto"/>
        <w:contextualSpacing w:val="0"/>
        <w:jc w:val="both"/>
      </w:pPr>
      <w:r>
        <w:t>“[</w:t>
      </w:r>
      <w:r w:rsidRPr="00913914">
        <w:t>t</w:t>
      </w:r>
      <w:r>
        <w:t>]</w:t>
      </w:r>
      <w:r w:rsidRPr="00913914">
        <w:t>he applicable portion of any income, rebate, allowance, or other credit relating to any allowable cost and received by, or accruing to, the contractor shall be credited to the Government either as a cost reduction or by cash refund.</w:t>
      </w:r>
      <w:r>
        <w:t>”</w:t>
      </w:r>
    </w:p>
    <w:p w14:paraId="5DD5CF71" w14:textId="77777777" w:rsidR="007A19AE" w:rsidRDefault="003049F3" w:rsidP="00D71C9A">
      <w:pPr>
        <w:pStyle w:val="ListParagraph"/>
        <w:numPr>
          <w:ilvl w:val="0"/>
          <w:numId w:val="6"/>
        </w:numPr>
        <w:spacing w:after="120" w:line="240" w:lineRule="auto"/>
        <w:contextualSpacing w:val="0"/>
        <w:jc w:val="both"/>
      </w:pPr>
      <w:r>
        <w:t>FHWA headquarters staff have communicated their views on the issues through presentations and discussions with various state DOT auditors</w:t>
      </w:r>
    </w:p>
    <w:p w14:paraId="35B6582D" w14:textId="77777777" w:rsidR="007A19AE" w:rsidRDefault="008A1D72" w:rsidP="00772B5D">
      <w:pPr>
        <w:pStyle w:val="ListParagraph"/>
        <w:numPr>
          <w:ilvl w:val="0"/>
          <w:numId w:val="6"/>
        </w:numPr>
        <w:spacing w:after="240" w:line="240" w:lineRule="auto"/>
        <w:jc w:val="both"/>
      </w:pPr>
      <w:r>
        <w:t xml:space="preserve">FHWA issued </w:t>
      </w:r>
      <w:r w:rsidR="00A87856" w:rsidRPr="00772B5D">
        <w:rPr>
          <w:b/>
          <w:bCs/>
          <w:i/>
          <w:iCs/>
        </w:rPr>
        <w:t>Memorandum</w:t>
      </w:r>
      <w:r w:rsidR="00DC31E9" w:rsidRPr="00772B5D">
        <w:rPr>
          <w:b/>
          <w:bCs/>
          <w:i/>
          <w:iCs/>
        </w:rPr>
        <w:t xml:space="preserve"> HCFB-30</w:t>
      </w:r>
      <w:r w:rsidR="00DC31E9" w:rsidRPr="00DC31E9">
        <w:t xml:space="preserve"> </w:t>
      </w:r>
      <w:r w:rsidR="00DC31E9">
        <w:t xml:space="preserve">on March 24, 2021 to provide further guidance and clarification. </w:t>
      </w:r>
    </w:p>
    <w:p w14:paraId="19425850" w14:textId="2F618B9E" w:rsidR="00E51D0E" w:rsidRDefault="000C361D" w:rsidP="00772B5D">
      <w:pPr>
        <w:spacing w:after="240" w:line="240" w:lineRule="auto"/>
        <w:jc w:val="both"/>
      </w:pPr>
      <w:r>
        <w:rPr>
          <w:b/>
          <w:bCs/>
          <w:u w:val="single"/>
        </w:rPr>
        <w:t xml:space="preserve">II. </w:t>
      </w:r>
      <w:r w:rsidR="00A719E5" w:rsidRPr="00A719E5">
        <w:rPr>
          <w:b/>
          <w:bCs/>
          <w:u w:val="single"/>
        </w:rPr>
        <w:t>USE OF INDIRECT COST RATES ON ODOT CONTRACTS</w:t>
      </w:r>
      <w:r w:rsidRPr="000C361D">
        <w:rPr>
          <w:b/>
          <w:bCs/>
        </w:rPr>
        <w:t>.</w:t>
      </w:r>
      <w:r w:rsidR="00395C5B">
        <w:rPr>
          <w:b/>
          <w:bCs/>
        </w:rPr>
        <w:t xml:space="preserve"> </w:t>
      </w:r>
    </w:p>
    <w:p w14:paraId="4A1B702B" w14:textId="7CE0CA0E" w:rsidR="007A19AE" w:rsidRDefault="007A19AE" w:rsidP="00D71C9A">
      <w:pPr>
        <w:pStyle w:val="ListParagraph"/>
        <w:numPr>
          <w:ilvl w:val="0"/>
          <w:numId w:val="7"/>
        </w:numPr>
        <w:spacing w:after="120" w:line="240" w:lineRule="auto"/>
        <w:contextualSpacing w:val="0"/>
        <w:jc w:val="both"/>
      </w:pPr>
      <w:r>
        <w:t xml:space="preserve">FAR Part 31 </w:t>
      </w:r>
      <w:r>
        <w:t xml:space="preserve"> i</w:t>
      </w:r>
      <w:r w:rsidR="00E51D0E">
        <w:t xml:space="preserve">ndirect cost rates </w:t>
      </w:r>
      <w:r>
        <w:t xml:space="preserve">(ICR) </w:t>
      </w:r>
      <w:r w:rsidR="00E51D0E">
        <w:t xml:space="preserve">for A/E firm’s most recently-completed fiscal year are used for billings and proposals within the </w:t>
      </w:r>
      <w:r w:rsidR="00E51D0E" w:rsidRPr="00772B5D">
        <w:rPr>
          <w:b/>
          <w:bCs/>
          <w:i/>
          <w:iCs/>
        </w:rPr>
        <w:t>effective period</w:t>
      </w:r>
      <w:r w:rsidR="00E51D0E">
        <w:t xml:space="preserve">. </w:t>
      </w:r>
    </w:p>
    <w:p w14:paraId="585DAE78" w14:textId="77777777" w:rsidR="007A19AE" w:rsidRDefault="00E51D0E" w:rsidP="00D71C9A">
      <w:pPr>
        <w:pStyle w:val="ListParagraph"/>
        <w:numPr>
          <w:ilvl w:val="0"/>
          <w:numId w:val="7"/>
        </w:numPr>
        <w:spacing w:after="120" w:line="240" w:lineRule="auto"/>
        <w:contextualSpacing w:val="0"/>
        <w:jc w:val="both"/>
      </w:pPr>
      <w:r>
        <w:t>“</w:t>
      </w:r>
      <w:r w:rsidR="007A19AE">
        <w:t>E</w:t>
      </w:r>
      <w:r>
        <w:t xml:space="preserve">ffective period” </w:t>
      </w:r>
      <w:r w:rsidR="007A19AE">
        <w:t xml:space="preserve"> - </w:t>
      </w:r>
      <w:r>
        <w:t xml:space="preserve">date upon which ODOT approves an indirect cost rate through the date of approval in the subsequent year. </w:t>
      </w:r>
    </w:p>
    <w:p w14:paraId="0C461BDC" w14:textId="77777777" w:rsidR="007A19AE" w:rsidRDefault="007A19AE" w:rsidP="00772B5D">
      <w:pPr>
        <w:spacing w:line="240" w:lineRule="auto"/>
        <w:jc w:val="both"/>
      </w:pPr>
      <w:r w:rsidRPr="007A19AE">
        <w:rPr>
          <w:b/>
          <w:bCs/>
          <w:u w:val="single"/>
        </w:rPr>
        <w:t>Example</w:t>
      </w:r>
      <w:r>
        <w:t xml:space="preserve">: </w:t>
      </w:r>
    </w:p>
    <w:p w14:paraId="399D7651" w14:textId="77777777" w:rsidR="007A19AE" w:rsidRDefault="007A19AE" w:rsidP="00D71C9A">
      <w:pPr>
        <w:pStyle w:val="ListParagraph"/>
        <w:numPr>
          <w:ilvl w:val="0"/>
          <w:numId w:val="8"/>
        </w:numPr>
        <w:spacing w:after="120" w:line="240" w:lineRule="auto"/>
        <w:contextualSpacing w:val="0"/>
        <w:jc w:val="both"/>
      </w:pPr>
      <w:r>
        <w:t>ICR</w:t>
      </w:r>
      <w:r w:rsidR="00E51D0E">
        <w:t xml:space="preserve"> computed based on actual costs incurred from January 1 through December 31, 2020, and approved by ODOT on March 15, 2021 (the effective date)</w:t>
      </w:r>
      <w:r>
        <w:t>.</w:t>
      </w:r>
    </w:p>
    <w:p w14:paraId="68C92B35" w14:textId="77777777" w:rsidR="007A19AE" w:rsidRDefault="007A19AE" w:rsidP="00D71C9A">
      <w:pPr>
        <w:pStyle w:val="ListParagraph"/>
        <w:numPr>
          <w:ilvl w:val="0"/>
          <w:numId w:val="8"/>
        </w:numPr>
        <w:spacing w:after="120" w:line="240" w:lineRule="auto"/>
        <w:contextualSpacing w:val="0"/>
        <w:jc w:val="both"/>
      </w:pPr>
      <w:r>
        <w:t>A</w:t>
      </w:r>
      <w:r w:rsidR="00E51D0E">
        <w:t xml:space="preserve">pplied to billings on </w:t>
      </w:r>
      <w:r w:rsidR="00E51D0E" w:rsidRPr="002260F1">
        <w:t xml:space="preserve">actual-cost-plus-fixed-fee </w:t>
      </w:r>
      <w:r>
        <w:t xml:space="preserve">(actual cost) </w:t>
      </w:r>
      <w:r w:rsidR="00E51D0E">
        <w:t xml:space="preserve">contracts and estimates on new contracts during the effective period. </w:t>
      </w:r>
    </w:p>
    <w:p w14:paraId="2142B68D" w14:textId="399A1FF7" w:rsidR="00E51D0E" w:rsidRDefault="00395C5B" w:rsidP="00772B5D">
      <w:pPr>
        <w:pStyle w:val="ListParagraph"/>
        <w:numPr>
          <w:ilvl w:val="0"/>
          <w:numId w:val="8"/>
        </w:numPr>
        <w:spacing w:line="240" w:lineRule="auto"/>
        <w:jc w:val="both"/>
      </w:pPr>
      <w:r>
        <w:t xml:space="preserve">ODOT </w:t>
      </w:r>
      <w:r w:rsidR="00213BA6">
        <w:t xml:space="preserve">treats </w:t>
      </w:r>
      <w:r>
        <w:t>t</w:t>
      </w:r>
      <w:r w:rsidR="00E51D0E">
        <w:t xml:space="preserve">hese rates as final contract rates. </w:t>
      </w:r>
    </w:p>
    <w:p w14:paraId="192AC88B" w14:textId="3215EB57" w:rsidR="00F36F68" w:rsidRPr="000C361D" w:rsidRDefault="000C361D" w:rsidP="00772B5D">
      <w:pPr>
        <w:spacing w:before="360" w:line="240" w:lineRule="auto"/>
        <w:rPr>
          <w:b/>
          <w:bCs/>
        </w:rPr>
      </w:pPr>
      <w:r>
        <w:rPr>
          <w:b/>
          <w:bCs/>
          <w:u w:val="single"/>
        </w:rPr>
        <w:t xml:space="preserve">III. </w:t>
      </w:r>
      <w:r w:rsidR="00A719E5" w:rsidRPr="00A719E5">
        <w:rPr>
          <w:b/>
          <w:bCs/>
          <w:u w:val="single"/>
        </w:rPr>
        <w:t>ADJUSTMENT REQUIRED FOR PPP LOANS FORGIVEN BY THE SMALL BUSINESS ADMINISTRATION</w:t>
      </w:r>
      <w:r w:rsidRPr="000C361D">
        <w:rPr>
          <w:b/>
          <w:bCs/>
        </w:rPr>
        <w:t>.</w:t>
      </w:r>
    </w:p>
    <w:p w14:paraId="5D8147DD" w14:textId="1771BEFF" w:rsidR="00F36F68" w:rsidRPr="00F36F68" w:rsidRDefault="007A19AE" w:rsidP="00D71C9A">
      <w:pPr>
        <w:spacing w:after="120" w:line="240" w:lineRule="auto"/>
        <w:jc w:val="both"/>
      </w:pPr>
      <w:r>
        <w:t>Recommendations for</w:t>
      </w:r>
      <w:r w:rsidR="00F36F68">
        <w:t xml:space="preserve"> </w:t>
      </w:r>
      <w:r w:rsidR="00C670B3">
        <w:t>adjustments/credits</w:t>
      </w:r>
      <w:r w:rsidR="00F36F68">
        <w:t xml:space="preserve"> required by FAR </w:t>
      </w:r>
      <w:r w:rsidR="00F36F68" w:rsidRPr="00913914">
        <w:t>31.201-5</w:t>
      </w:r>
      <w:r>
        <w:t xml:space="preserve">. </w:t>
      </w:r>
      <w:r w:rsidR="00772B5D">
        <w:t>(</w:t>
      </w:r>
      <w:r>
        <w:t>Only for f</w:t>
      </w:r>
      <w:r>
        <w:t>orgiven PPP loan proceeds</w:t>
      </w:r>
      <w:r w:rsidR="00772B5D">
        <w:t>)</w:t>
      </w:r>
      <w:r>
        <w:t>:</w:t>
      </w:r>
      <w:r>
        <w:t xml:space="preserve"> </w:t>
      </w:r>
    </w:p>
    <w:p w14:paraId="52AAC51C" w14:textId="05FA7A0F" w:rsidR="00A719E5" w:rsidRDefault="007A19AE" w:rsidP="00D71C9A">
      <w:pPr>
        <w:pStyle w:val="ListParagraph"/>
        <w:numPr>
          <w:ilvl w:val="0"/>
          <w:numId w:val="9"/>
        </w:numPr>
        <w:spacing w:after="120" w:line="240" w:lineRule="auto"/>
        <w:contextualSpacing w:val="0"/>
        <w:jc w:val="both"/>
      </w:pPr>
      <w:r>
        <w:t>C</w:t>
      </w:r>
      <w:r w:rsidR="00A719E5">
        <w:t>redited to the indirect cost rate to provide equitable allocation of the credit across different contract</w:t>
      </w:r>
      <w:r w:rsidR="00C670B3">
        <w:t>s</w:t>
      </w:r>
      <w:r w:rsidR="00A719E5">
        <w:t xml:space="preserve"> and customer types.</w:t>
      </w:r>
      <w:r w:rsidR="00DC31E9">
        <w:t xml:space="preserve"> </w:t>
      </w:r>
      <w:r w:rsidR="00C670B3">
        <w:t>However, t</w:t>
      </w:r>
      <w:r w:rsidR="00A719E5">
        <w:t xml:space="preserve">he credited rate </w:t>
      </w:r>
      <w:r w:rsidR="00F36F68">
        <w:t xml:space="preserve">only </w:t>
      </w:r>
      <w:r w:rsidR="00A719E5">
        <w:t>will affect FAR-based contracts.</w:t>
      </w:r>
    </w:p>
    <w:p w14:paraId="752932F0" w14:textId="67528AC8" w:rsidR="007A19AE" w:rsidRDefault="007A19AE" w:rsidP="00D71C9A">
      <w:pPr>
        <w:pStyle w:val="ListParagraph"/>
        <w:numPr>
          <w:ilvl w:val="0"/>
          <w:numId w:val="9"/>
        </w:numPr>
        <w:spacing w:after="120" w:line="240" w:lineRule="auto"/>
        <w:contextualSpacing w:val="0"/>
        <w:jc w:val="both"/>
      </w:pPr>
      <w:r>
        <w:t>FAR-based contracts</w:t>
      </w:r>
      <w:r>
        <w:t xml:space="preserve"> are contracts funded with State and/or Federal funds.</w:t>
      </w:r>
    </w:p>
    <w:p w14:paraId="2293C7F0" w14:textId="77777777" w:rsidR="0033662F" w:rsidRDefault="0033662F">
      <w:r>
        <w:br w:type="page"/>
      </w:r>
    </w:p>
    <w:p w14:paraId="64A2FA1D" w14:textId="111CAC24" w:rsidR="007A19AE" w:rsidRDefault="00D71C9A" w:rsidP="00D71C9A">
      <w:pPr>
        <w:pStyle w:val="ListParagraph"/>
        <w:numPr>
          <w:ilvl w:val="0"/>
          <w:numId w:val="9"/>
        </w:numPr>
        <w:spacing w:after="120" w:line="240" w:lineRule="auto"/>
        <w:contextualSpacing w:val="0"/>
        <w:jc w:val="both"/>
      </w:pPr>
      <w:r w:rsidRPr="00D71C9A">
        <w:rPr>
          <w:b/>
          <w:bCs/>
          <w:u w:val="single"/>
        </w:rPr>
        <w:lastRenderedPageBreak/>
        <w:t>What is a FAR-based contract</w:t>
      </w:r>
      <w:r>
        <w:t xml:space="preserve">? </w:t>
      </w:r>
      <w:r w:rsidR="007A19AE">
        <w:t>From ODOT Specifications Manual</w:t>
      </w:r>
      <w:r>
        <w:t>:</w:t>
      </w:r>
    </w:p>
    <w:p w14:paraId="52067FE8" w14:textId="2FEA1AD2" w:rsidR="007A19AE" w:rsidRDefault="007A19AE" w:rsidP="00772B5D">
      <w:pPr>
        <w:pStyle w:val="NOTESPG"/>
        <w:jc w:val="center"/>
      </w:pPr>
      <w:r>
        <w:rPr>
          <w:noProof/>
        </w:rPr>
        <w:drawing>
          <wp:inline distT="0" distB="0" distL="0" distR="0" wp14:anchorId="036ED441" wp14:editId="4419E16E">
            <wp:extent cx="5359179" cy="360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2230" r="3825" b="40128"/>
                    <a:stretch/>
                  </pic:blipFill>
                  <pic:spPr bwMode="auto">
                    <a:xfrm>
                      <a:off x="0" y="0"/>
                      <a:ext cx="5359179" cy="3609340"/>
                    </a:xfrm>
                    <a:prstGeom prst="rect">
                      <a:avLst/>
                    </a:prstGeom>
                    <a:noFill/>
                    <a:ln>
                      <a:noFill/>
                    </a:ln>
                    <a:extLst>
                      <a:ext uri="{53640926-AAD7-44D8-BBD7-CCE9431645EC}">
                        <a14:shadowObscured xmlns:a14="http://schemas.microsoft.com/office/drawing/2010/main"/>
                      </a:ext>
                    </a:extLst>
                  </pic:spPr>
                </pic:pic>
              </a:graphicData>
            </a:graphic>
          </wp:inline>
        </w:drawing>
      </w:r>
    </w:p>
    <w:p w14:paraId="15FB449E" w14:textId="69218E5B" w:rsidR="007F2FB6" w:rsidRDefault="007F2FB6" w:rsidP="00D71C9A">
      <w:pPr>
        <w:pStyle w:val="ListParagraph"/>
        <w:numPr>
          <w:ilvl w:val="0"/>
          <w:numId w:val="10"/>
        </w:numPr>
        <w:spacing w:before="120" w:after="120" w:line="240" w:lineRule="auto"/>
        <w:ind w:left="547"/>
        <w:contextualSpacing w:val="0"/>
        <w:jc w:val="both"/>
      </w:pPr>
      <w:r>
        <w:t xml:space="preserve">Credit for PPP loan forgiveness will be made through </w:t>
      </w:r>
      <w:r w:rsidR="00EC4754">
        <w:t>a reduction</w:t>
      </w:r>
      <w:r>
        <w:t xml:space="preserve"> to the </w:t>
      </w:r>
      <w:r w:rsidR="00913914">
        <w:t>A/E</w:t>
      </w:r>
      <w:r>
        <w:t xml:space="preserve"> firm’s indirect cost rate for the year in which PPP funds were </w:t>
      </w:r>
      <w:r w:rsidR="00213BA6">
        <w:t>used/expended</w:t>
      </w:r>
      <w:r>
        <w:t>.</w:t>
      </w:r>
    </w:p>
    <w:p w14:paraId="7E1DA7B6" w14:textId="4C940976" w:rsidR="00CC7A8A" w:rsidRDefault="007F2FB6" w:rsidP="00D71C9A">
      <w:pPr>
        <w:pStyle w:val="ListParagraph"/>
        <w:numPr>
          <w:ilvl w:val="0"/>
          <w:numId w:val="10"/>
        </w:numPr>
        <w:spacing w:after="120" w:line="240" w:lineRule="auto"/>
        <w:ind w:left="547"/>
        <w:contextualSpacing w:val="0"/>
        <w:jc w:val="both"/>
      </w:pPr>
      <w:r>
        <w:t xml:space="preserve">Per FHWA guidance, </w:t>
      </w:r>
      <w:r w:rsidR="00913914">
        <w:t>ODOT</w:t>
      </w:r>
      <w:r>
        <w:t xml:space="preserve"> will not accept direct credit</w:t>
      </w:r>
      <w:r w:rsidR="00C670B3">
        <w:t>s</w:t>
      </w:r>
      <w:r>
        <w:t xml:space="preserve"> to projects if PPP funds were initially expended for direct cost</w:t>
      </w:r>
      <w:r w:rsidR="00913914">
        <w:t>s</w:t>
      </w:r>
      <w:r>
        <w:t xml:space="preserve"> </w:t>
      </w:r>
      <w:r w:rsidR="00E2506C">
        <w:t xml:space="preserve">on </w:t>
      </w:r>
      <w:r w:rsidR="00913914">
        <w:t>ODOT</w:t>
      </w:r>
      <w:r w:rsidR="00E2506C">
        <w:t xml:space="preserve"> contracts</w:t>
      </w:r>
      <w:r w:rsidR="00913914">
        <w:t>.</w:t>
      </w:r>
      <w:r w:rsidR="00E2506C">
        <w:t xml:space="preserve"> PPP funds initially applied to </w:t>
      </w:r>
      <w:r w:rsidR="00913914">
        <w:t>ODOT</w:t>
      </w:r>
      <w:r w:rsidR="00E2506C">
        <w:t xml:space="preserve"> contracts </w:t>
      </w:r>
      <w:r w:rsidR="00EC4754">
        <w:t xml:space="preserve">must be </w:t>
      </w:r>
      <w:r w:rsidR="00C670B3">
        <w:t>re</w:t>
      </w:r>
      <w:r w:rsidR="00EC4754">
        <w:t>allocated as</w:t>
      </w:r>
      <w:r w:rsidR="00E2506C">
        <w:t xml:space="preserve"> indirect costs and credited to the indirect cost rate.</w:t>
      </w:r>
    </w:p>
    <w:p w14:paraId="2294C211" w14:textId="77777777" w:rsidR="00772B5D" w:rsidRDefault="00772B5D" w:rsidP="00D71C9A">
      <w:pPr>
        <w:pStyle w:val="ListParagraph"/>
        <w:numPr>
          <w:ilvl w:val="0"/>
          <w:numId w:val="10"/>
        </w:numPr>
        <w:spacing w:after="120" w:line="240" w:lineRule="auto"/>
        <w:ind w:left="547"/>
        <w:contextualSpacing w:val="0"/>
        <w:jc w:val="both"/>
      </w:pPr>
      <w:r>
        <w:t>Costs excluded from adjustment:</w:t>
      </w:r>
      <w:r w:rsidR="00E2506C">
        <w:t xml:space="preserve"> direct costs on non-FAR based contracts</w:t>
      </w:r>
      <w:r w:rsidR="00EC4754">
        <w:t>, such as commercial contracts/project</w:t>
      </w:r>
      <w:r>
        <w:t>s</w:t>
      </w:r>
      <w:r w:rsidR="00E2506C">
        <w:t>.</w:t>
      </w:r>
      <w:r w:rsidR="00DC31E9">
        <w:t xml:space="preserve"> </w:t>
      </w:r>
    </w:p>
    <w:p w14:paraId="5D9781BE" w14:textId="52A95174" w:rsidR="00E2506C" w:rsidRDefault="00772B5D" w:rsidP="00D71C9A">
      <w:pPr>
        <w:pStyle w:val="ListParagraph"/>
        <w:numPr>
          <w:ilvl w:val="0"/>
          <w:numId w:val="10"/>
        </w:numPr>
        <w:spacing w:after="120" w:line="240" w:lineRule="auto"/>
        <w:ind w:left="547"/>
        <w:contextualSpacing w:val="0"/>
        <w:jc w:val="both"/>
      </w:pPr>
      <w:r w:rsidRPr="00772B5D">
        <w:rPr>
          <w:b/>
          <w:bCs/>
          <w:u w:val="single"/>
        </w:rPr>
        <w:t>Support for Exclusion</w:t>
      </w:r>
      <w:r>
        <w:t>: A</w:t>
      </w:r>
      <w:r w:rsidR="00EC4754">
        <w:t>dequate documentation to</w:t>
      </w:r>
      <w:r w:rsidR="00E2506C">
        <w:t xml:space="preserve"> identify the specific non-FAR based</w:t>
      </w:r>
      <w:r w:rsidR="00A14DED">
        <w:t xml:space="preserve"> contract</w:t>
      </w:r>
      <w:r w:rsidR="00E2506C">
        <w:t xml:space="preserve"> costs that were included on their PPP forgiveness application.</w:t>
      </w:r>
      <w:r w:rsidR="00213BA6">
        <w:t xml:space="preserve"> (For example, d</w:t>
      </w:r>
      <w:r w:rsidR="00213BA6" w:rsidRPr="00213BA6">
        <w:t xml:space="preserve">irect costs excluded </w:t>
      </w:r>
      <w:r w:rsidR="00213BA6">
        <w:t xml:space="preserve">from the credit </w:t>
      </w:r>
      <w:r w:rsidR="00213BA6" w:rsidRPr="00213BA6">
        <w:t>should be supported by job</w:t>
      </w:r>
      <w:r w:rsidR="00614D80">
        <w:t>-</w:t>
      </w:r>
      <w:r w:rsidR="00213BA6" w:rsidRPr="00213BA6">
        <w:t>cost and labor</w:t>
      </w:r>
      <w:r w:rsidR="00614D80">
        <w:t>-</w:t>
      </w:r>
      <w:r w:rsidR="00213BA6" w:rsidRPr="00213BA6">
        <w:t>distribution reports showing the direct costs that were excluded</w:t>
      </w:r>
      <w:r w:rsidR="00614D80">
        <w:t>,</w:t>
      </w:r>
      <w:r w:rsidR="00213BA6" w:rsidRPr="00213BA6">
        <w:t xml:space="preserve"> including the project number, contract description</w:t>
      </w:r>
      <w:r w:rsidR="00213BA6">
        <w:t>,</w:t>
      </w:r>
      <w:r w:rsidR="00213BA6" w:rsidRPr="00213BA6">
        <w:t xml:space="preserve"> and </w:t>
      </w:r>
      <w:r w:rsidR="00213BA6">
        <w:t xml:space="preserve">the </w:t>
      </w:r>
      <w:r w:rsidR="00213BA6" w:rsidRPr="00213BA6">
        <w:t xml:space="preserve">customer for each contract </w:t>
      </w:r>
      <w:r w:rsidR="00213BA6">
        <w:t>charged with such</w:t>
      </w:r>
      <w:r w:rsidR="00213BA6" w:rsidRPr="00213BA6">
        <w:t xml:space="preserve"> costs.</w:t>
      </w:r>
      <w:r w:rsidR="00213BA6">
        <w:t>)</w:t>
      </w:r>
      <w:r w:rsidR="00DC31E9">
        <w:t xml:space="preserve"> </w:t>
      </w:r>
    </w:p>
    <w:p w14:paraId="053B207F" w14:textId="0E3197DC" w:rsidR="00F36F68" w:rsidRDefault="00772B5D" w:rsidP="00D71C9A">
      <w:pPr>
        <w:pStyle w:val="ListParagraph"/>
        <w:numPr>
          <w:ilvl w:val="0"/>
          <w:numId w:val="10"/>
        </w:numPr>
        <w:spacing w:after="120" w:line="240" w:lineRule="auto"/>
        <w:ind w:left="547"/>
        <w:contextualSpacing w:val="0"/>
        <w:jc w:val="both"/>
      </w:pPr>
      <w:r w:rsidRPr="00772B5D">
        <w:rPr>
          <w:b/>
          <w:bCs/>
          <w:u w:val="single"/>
        </w:rPr>
        <w:t>Application of Post-PPP Rates</w:t>
      </w:r>
      <w:r>
        <w:t>: E</w:t>
      </w:r>
      <w:r w:rsidR="00E2506C">
        <w:t>stimate costs and establish pricing and contract maximums on new contracts</w:t>
      </w:r>
      <w:r w:rsidR="00EC4754">
        <w:t xml:space="preserve">, but for multi-year contracts, the post-PPP rate (adjusted rate) will be used for the first year of the estimate only. For the portion of the estimate that </w:t>
      </w:r>
      <w:r w:rsidR="00614D80">
        <w:t>extends</w:t>
      </w:r>
      <w:r w:rsidR="00EC4754">
        <w:t xml:space="preserve"> beyond year 1, pre-PPP </w:t>
      </w:r>
      <w:r w:rsidR="00614D80">
        <w:t xml:space="preserve">(unadjusted) </w:t>
      </w:r>
      <w:r w:rsidR="00EC4754">
        <w:t xml:space="preserve">indirect cost rates will be used. </w:t>
      </w:r>
    </w:p>
    <w:p w14:paraId="09F298D8" w14:textId="04CE9537" w:rsidR="00F36F68" w:rsidRDefault="00772B5D" w:rsidP="00772B5D">
      <w:pPr>
        <w:pStyle w:val="ListParagraph"/>
        <w:numPr>
          <w:ilvl w:val="0"/>
          <w:numId w:val="10"/>
        </w:numPr>
        <w:spacing w:line="240" w:lineRule="auto"/>
        <w:ind w:left="547"/>
        <w:jc w:val="both"/>
      </w:pPr>
      <w:r w:rsidRPr="00772B5D">
        <w:rPr>
          <w:b/>
          <w:bCs/>
          <w:u w:val="single"/>
        </w:rPr>
        <w:t>Application: Contract Types</w:t>
      </w:r>
      <w:r>
        <w:t xml:space="preserve">: </w:t>
      </w:r>
      <w:r w:rsidR="00F36F68">
        <w:t>The indirect cost rate credit for PPP loan forgiveness will be used for estimates on all contract types that use the indirect cost rate as a basis for determining total contract cost (total fee).</w:t>
      </w:r>
      <w:r w:rsidR="00DC31E9">
        <w:t xml:space="preserve"> </w:t>
      </w:r>
      <w:r w:rsidR="00F36F68">
        <w:t>Accordingly</w:t>
      </w:r>
      <w:r w:rsidR="000C361D">
        <w:t>,</w:t>
      </w:r>
      <w:r w:rsidR="00F36F68">
        <w:t xml:space="preserve"> this applies to estimates on lump</w:t>
      </w:r>
      <w:r w:rsidR="00C670B3">
        <w:t>-</w:t>
      </w:r>
      <w:r w:rsidR="00F36F68">
        <w:t>sum, rate-of-pay, and actual</w:t>
      </w:r>
      <w:r w:rsidR="00C670B3">
        <w:t>-</w:t>
      </w:r>
      <w:r w:rsidR="00F36F68">
        <w:t>cost-plus</w:t>
      </w:r>
      <w:r w:rsidR="00C670B3">
        <w:t>-</w:t>
      </w:r>
      <w:r w:rsidR="00F36F68">
        <w:t>fixed</w:t>
      </w:r>
      <w:r w:rsidR="00C670B3">
        <w:t>-</w:t>
      </w:r>
      <w:r w:rsidR="00F36F68">
        <w:t xml:space="preserve">fee contracts. </w:t>
      </w:r>
    </w:p>
    <w:p w14:paraId="10C93368" w14:textId="77777777" w:rsidR="00772B5D" w:rsidRDefault="00772B5D">
      <w:pPr>
        <w:rPr>
          <w:b/>
          <w:bCs/>
          <w:u w:val="single"/>
        </w:rPr>
      </w:pPr>
      <w:r>
        <w:rPr>
          <w:b/>
          <w:bCs/>
          <w:u w:val="single"/>
        </w:rPr>
        <w:br w:type="page"/>
      </w:r>
    </w:p>
    <w:p w14:paraId="73C1B577" w14:textId="4B9AE828" w:rsidR="00F36F68" w:rsidRDefault="000C361D" w:rsidP="00772B5D">
      <w:pPr>
        <w:spacing w:after="120" w:line="240" w:lineRule="auto"/>
        <w:rPr>
          <w:b/>
          <w:bCs/>
          <w:u w:val="single"/>
        </w:rPr>
      </w:pPr>
      <w:r>
        <w:rPr>
          <w:b/>
          <w:bCs/>
          <w:u w:val="single"/>
        </w:rPr>
        <w:lastRenderedPageBreak/>
        <w:t xml:space="preserve">IV. </w:t>
      </w:r>
      <w:r w:rsidR="00F36F68">
        <w:rPr>
          <w:b/>
          <w:bCs/>
          <w:u w:val="single"/>
        </w:rPr>
        <w:t>EXAMPLES</w:t>
      </w:r>
      <w:r w:rsidRPr="000C361D">
        <w:rPr>
          <w:b/>
          <w:bCs/>
        </w:rPr>
        <w:t>.</w:t>
      </w:r>
    </w:p>
    <w:p w14:paraId="56F22D2D" w14:textId="20FFD24C" w:rsidR="00EC4754" w:rsidRDefault="00EC4754" w:rsidP="00772B5D">
      <w:pPr>
        <w:pStyle w:val="ListParagraph"/>
        <w:numPr>
          <w:ilvl w:val="0"/>
          <w:numId w:val="1"/>
        </w:numPr>
        <w:spacing w:after="120" w:line="240" w:lineRule="auto"/>
        <w:jc w:val="both"/>
      </w:pPr>
      <w:r w:rsidRPr="00E51D0E">
        <w:rPr>
          <w:b/>
          <w:bCs/>
          <w:u w:val="single"/>
        </w:rPr>
        <w:t>Example</w:t>
      </w:r>
      <w:r w:rsidR="00F36F68">
        <w:rPr>
          <w:b/>
          <w:bCs/>
          <w:u w:val="single"/>
        </w:rPr>
        <w:t xml:space="preserve"> 1</w:t>
      </w:r>
      <w:r w:rsidR="00E51D0E">
        <w:rPr>
          <w:b/>
          <w:bCs/>
          <w:u w:val="single"/>
        </w:rPr>
        <w:t>: Cost Estimates/Contract Maximums</w:t>
      </w:r>
      <w:r>
        <w:t xml:space="preserve">. Firm A received PPP loan forgiveness in 2020. Firm A’s indirect cost rate is 175% before any adjustment for loan forgiveness. By contrast, its post-PPP adjusted indirect cost rate is 150%. Assuming </w:t>
      </w:r>
      <w:r w:rsidR="00E51D0E">
        <w:t xml:space="preserve">that Firm A is negotiating a </w:t>
      </w:r>
      <w:r w:rsidR="001449B8">
        <w:t>three</w:t>
      </w:r>
      <w:r w:rsidR="00E51D0E">
        <w:t>-year contract with ODOT, the rates would be applied as follows, for purposes of determining the contract maximum:</w:t>
      </w:r>
      <w:r w:rsidR="00DC31E9">
        <w:t xml:space="preserve"> </w:t>
      </w:r>
    </w:p>
    <w:tbl>
      <w:tblPr>
        <w:tblW w:w="7680" w:type="dxa"/>
        <w:tblInd w:w="991" w:type="dxa"/>
        <w:tblCellMar>
          <w:left w:w="0" w:type="dxa"/>
          <w:right w:w="0" w:type="dxa"/>
        </w:tblCellMar>
        <w:tblLook w:val="04A0" w:firstRow="1" w:lastRow="0" w:firstColumn="1" w:lastColumn="0" w:noHBand="0" w:noVBand="1"/>
      </w:tblPr>
      <w:tblGrid>
        <w:gridCol w:w="4800"/>
        <w:gridCol w:w="960"/>
        <w:gridCol w:w="960"/>
        <w:gridCol w:w="960"/>
      </w:tblGrid>
      <w:tr w:rsidR="00EC4754" w14:paraId="662AB87D" w14:textId="77777777" w:rsidTr="00EC4754">
        <w:trPr>
          <w:trHeight w:val="300"/>
        </w:trPr>
        <w:tc>
          <w:tcPr>
            <w:tcW w:w="4800" w:type="dxa"/>
            <w:noWrap/>
            <w:tcMar>
              <w:top w:w="0" w:type="dxa"/>
              <w:left w:w="108" w:type="dxa"/>
              <w:bottom w:w="0" w:type="dxa"/>
              <w:right w:w="108" w:type="dxa"/>
            </w:tcMar>
            <w:vAlign w:val="bottom"/>
            <w:hideMark/>
          </w:tcPr>
          <w:p w14:paraId="5FD64C6A" w14:textId="77777777" w:rsidR="00EC4754" w:rsidRDefault="00EC4754" w:rsidP="00772B5D">
            <w:pPr>
              <w:spacing w:line="240" w:lineRule="auto"/>
              <w:rPr>
                <w:rFonts w:ascii="Trebuchet MS" w:hAnsi="Trebuchet MS"/>
                <w:color w:val="002060"/>
                <w:sz w:val="20"/>
                <w:szCs w:val="20"/>
              </w:rPr>
            </w:pPr>
          </w:p>
        </w:tc>
        <w:tc>
          <w:tcPr>
            <w:tcW w:w="960" w:type="dxa"/>
            <w:noWrap/>
            <w:tcMar>
              <w:top w:w="0" w:type="dxa"/>
              <w:left w:w="108" w:type="dxa"/>
              <w:bottom w:w="0" w:type="dxa"/>
              <w:right w:w="108" w:type="dxa"/>
            </w:tcMar>
            <w:vAlign w:val="center"/>
            <w:hideMark/>
          </w:tcPr>
          <w:p w14:paraId="3B3E5C78" w14:textId="77777777" w:rsidR="00EC4754" w:rsidRDefault="00EC4754" w:rsidP="00772B5D">
            <w:pPr>
              <w:spacing w:line="240" w:lineRule="auto"/>
              <w:jc w:val="center"/>
              <w:rPr>
                <w:rFonts w:ascii="Calibri" w:hAnsi="Calibri" w:cs="Calibri"/>
                <w:b/>
                <w:bCs/>
                <w:color w:val="000000"/>
                <w:u w:val="single"/>
              </w:rPr>
            </w:pPr>
            <w:r>
              <w:rPr>
                <w:b/>
                <w:bCs/>
                <w:color w:val="000000"/>
                <w:u w:val="single"/>
              </w:rPr>
              <w:t>Year 1</w:t>
            </w:r>
          </w:p>
        </w:tc>
        <w:tc>
          <w:tcPr>
            <w:tcW w:w="960" w:type="dxa"/>
            <w:noWrap/>
            <w:tcMar>
              <w:top w:w="0" w:type="dxa"/>
              <w:left w:w="108" w:type="dxa"/>
              <w:bottom w:w="0" w:type="dxa"/>
              <w:right w:w="108" w:type="dxa"/>
            </w:tcMar>
            <w:vAlign w:val="center"/>
            <w:hideMark/>
          </w:tcPr>
          <w:p w14:paraId="626E38E4" w14:textId="77777777" w:rsidR="00EC4754" w:rsidRDefault="00EC4754" w:rsidP="00772B5D">
            <w:pPr>
              <w:spacing w:line="240" w:lineRule="auto"/>
              <w:jc w:val="center"/>
              <w:rPr>
                <w:b/>
                <w:bCs/>
                <w:color w:val="000000"/>
                <w:u w:val="single"/>
              </w:rPr>
            </w:pPr>
            <w:r>
              <w:rPr>
                <w:b/>
                <w:bCs/>
                <w:color w:val="000000"/>
                <w:u w:val="single"/>
              </w:rPr>
              <w:t>Year 2</w:t>
            </w:r>
          </w:p>
        </w:tc>
        <w:tc>
          <w:tcPr>
            <w:tcW w:w="960" w:type="dxa"/>
            <w:noWrap/>
            <w:tcMar>
              <w:top w:w="0" w:type="dxa"/>
              <w:left w:w="108" w:type="dxa"/>
              <w:bottom w:w="0" w:type="dxa"/>
              <w:right w:w="108" w:type="dxa"/>
            </w:tcMar>
            <w:vAlign w:val="center"/>
            <w:hideMark/>
          </w:tcPr>
          <w:p w14:paraId="39895FBD" w14:textId="77777777" w:rsidR="00EC4754" w:rsidRDefault="00EC4754" w:rsidP="00772B5D">
            <w:pPr>
              <w:spacing w:line="240" w:lineRule="auto"/>
              <w:jc w:val="center"/>
              <w:rPr>
                <w:b/>
                <w:bCs/>
                <w:color w:val="000000"/>
                <w:u w:val="single"/>
              </w:rPr>
            </w:pPr>
            <w:r>
              <w:rPr>
                <w:b/>
                <w:bCs/>
                <w:color w:val="000000"/>
                <w:u w:val="single"/>
              </w:rPr>
              <w:t>Year 3</w:t>
            </w:r>
          </w:p>
        </w:tc>
      </w:tr>
      <w:tr w:rsidR="00EC4754" w14:paraId="04B1CB48" w14:textId="77777777" w:rsidTr="00EC4754">
        <w:trPr>
          <w:trHeight w:val="300"/>
        </w:trPr>
        <w:tc>
          <w:tcPr>
            <w:tcW w:w="4800" w:type="dxa"/>
            <w:noWrap/>
            <w:tcMar>
              <w:top w:w="0" w:type="dxa"/>
              <w:left w:w="108" w:type="dxa"/>
              <w:bottom w:w="0" w:type="dxa"/>
              <w:right w:w="108" w:type="dxa"/>
            </w:tcMar>
            <w:vAlign w:val="bottom"/>
            <w:hideMark/>
          </w:tcPr>
          <w:p w14:paraId="0FF483A8" w14:textId="4575AC18" w:rsidR="00EC4754" w:rsidRDefault="00EC4754" w:rsidP="00772B5D">
            <w:pPr>
              <w:spacing w:line="240" w:lineRule="auto"/>
              <w:jc w:val="center"/>
              <w:rPr>
                <w:color w:val="000000"/>
              </w:rPr>
            </w:pPr>
            <w:r>
              <w:rPr>
                <w:color w:val="000000"/>
              </w:rPr>
              <w:t xml:space="preserve">Indirect </w:t>
            </w:r>
            <w:r w:rsidR="00C670B3">
              <w:rPr>
                <w:color w:val="000000"/>
              </w:rPr>
              <w:t>c</w:t>
            </w:r>
            <w:r>
              <w:rPr>
                <w:color w:val="000000"/>
              </w:rPr>
              <w:t xml:space="preserve">ost </w:t>
            </w:r>
            <w:r w:rsidR="00C670B3">
              <w:rPr>
                <w:color w:val="000000"/>
              </w:rPr>
              <w:t>r</w:t>
            </w:r>
            <w:r>
              <w:rPr>
                <w:color w:val="000000"/>
              </w:rPr>
              <w:t>ates used to determine maximum contract value (the not-to-exceed amount)</w:t>
            </w:r>
          </w:p>
        </w:tc>
        <w:tc>
          <w:tcPr>
            <w:tcW w:w="960" w:type="dxa"/>
            <w:noWrap/>
            <w:tcMar>
              <w:top w:w="0" w:type="dxa"/>
              <w:left w:w="108" w:type="dxa"/>
              <w:bottom w:w="0" w:type="dxa"/>
              <w:right w:w="108" w:type="dxa"/>
            </w:tcMar>
            <w:vAlign w:val="bottom"/>
            <w:hideMark/>
          </w:tcPr>
          <w:p w14:paraId="326B7B41" w14:textId="77777777" w:rsidR="00EC4754" w:rsidRDefault="00EC4754" w:rsidP="00772B5D">
            <w:pPr>
              <w:spacing w:line="240" w:lineRule="auto"/>
              <w:jc w:val="center"/>
              <w:rPr>
                <w:color w:val="000000"/>
              </w:rPr>
            </w:pPr>
            <w:r>
              <w:rPr>
                <w:color w:val="000000"/>
              </w:rPr>
              <w:t>150%</w:t>
            </w:r>
          </w:p>
        </w:tc>
        <w:tc>
          <w:tcPr>
            <w:tcW w:w="960" w:type="dxa"/>
            <w:noWrap/>
            <w:tcMar>
              <w:top w:w="0" w:type="dxa"/>
              <w:left w:w="108" w:type="dxa"/>
              <w:bottom w:w="0" w:type="dxa"/>
              <w:right w:w="108" w:type="dxa"/>
            </w:tcMar>
            <w:vAlign w:val="bottom"/>
            <w:hideMark/>
          </w:tcPr>
          <w:p w14:paraId="6064416E" w14:textId="77777777" w:rsidR="00EC4754" w:rsidRDefault="00EC4754" w:rsidP="00772B5D">
            <w:pPr>
              <w:spacing w:line="240" w:lineRule="auto"/>
              <w:jc w:val="center"/>
              <w:rPr>
                <w:color w:val="000000"/>
              </w:rPr>
            </w:pPr>
            <w:r>
              <w:rPr>
                <w:color w:val="000000"/>
              </w:rPr>
              <w:t>175%</w:t>
            </w:r>
          </w:p>
        </w:tc>
        <w:tc>
          <w:tcPr>
            <w:tcW w:w="960" w:type="dxa"/>
            <w:noWrap/>
            <w:tcMar>
              <w:top w:w="0" w:type="dxa"/>
              <w:left w:w="108" w:type="dxa"/>
              <w:bottom w:w="0" w:type="dxa"/>
              <w:right w:w="108" w:type="dxa"/>
            </w:tcMar>
            <w:vAlign w:val="bottom"/>
            <w:hideMark/>
          </w:tcPr>
          <w:p w14:paraId="012F0A7B" w14:textId="77777777" w:rsidR="00EC4754" w:rsidRDefault="00EC4754" w:rsidP="00772B5D">
            <w:pPr>
              <w:spacing w:line="240" w:lineRule="auto"/>
              <w:jc w:val="center"/>
              <w:rPr>
                <w:color w:val="000000"/>
              </w:rPr>
            </w:pPr>
            <w:r>
              <w:rPr>
                <w:color w:val="000000"/>
              </w:rPr>
              <w:t>175%</w:t>
            </w:r>
          </w:p>
        </w:tc>
      </w:tr>
    </w:tbl>
    <w:p w14:paraId="1B8D3AE2" w14:textId="77777777" w:rsidR="00E51D0E" w:rsidRDefault="00E51D0E" w:rsidP="00772B5D">
      <w:pPr>
        <w:spacing w:line="240" w:lineRule="auto"/>
        <w:rPr>
          <w:rFonts w:ascii="Trebuchet MS" w:hAnsi="Trebuchet MS"/>
          <w:color w:val="002060"/>
          <w:sz w:val="20"/>
          <w:szCs w:val="20"/>
        </w:rPr>
      </w:pPr>
    </w:p>
    <w:p w14:paraId="745FF223" w14:textId="1E8624DA" w:rsidR="00E51D0E" w:rsidRPr="00E51D0E" w:rsidRDefault="00E51D0E" w:rsidP="00772B5D">
      <w:pPr>
        <w:pStyle w:val="ListParagraph"/>
        <w:numPr>
          <w:ilvl w:val="0"/>
          <w:numId w:val="1"/>
        </w:numPr>
        <w:spacing w:line="240" w:lineRule="auto"/>
        <w:jc w:val="both"/>
      </w:pPr>
      <w:r w:rsidRPr="00E51D0E">
        <w:rPr>
          <w:b/>
          <w:bCs/>
          <w:u w:val="single"/>
        </w:rPr>
        <w:t>Example</w:t>
      </w:r>
      <w:r w:rsidR="00F36F68">
        <w:rPr>
          <w:b/>
          <w:bCs/>
          <w:u w:val="single"/>
        </w:rPr>
        <w:t xml:space="preserve"> 2</w:t>
      </w:r>
      <w:r w:rsidRPr="00E51D0E">
        <w:rPr>
          <w:b/>
          <w:bCs/>
          <w:u w:val="single"/>
        </w:rPr>
        <w:t>: Billings on Actual-Cost Contracts</w:t>
      </w:r>
      <w:r>
        <w:t xml:space="preserve">. </w:t>
      </w:r>
      <w:r w:rsidR="00614D80">
        <w:t>In terms of</w:t>
      </w:r>
      <w:r w:rsidRPr="00E51D0E">
        <w:t xml:space="preserve"> billing on the </w:t>
      </w:r>
      <w:r w:rsidR="001449B8">
        <w:t>three</w:t>
      </w:r>
      <w:r w:rsidRPr="00E51D0E">
        <w:t>-year contract, the company would use 150% for year 1, then update its overhead rates</w:t>
      </w:r>
      <w:r w:rsidR="00614D80">
        <w:t xml:space="preserve"> in the subsequent years. Once ODOT approves the updated rates, Firm A would use</w:t>
      </w:r>
      <w:r w:rsidRPr="00E51D0E">
        <w:t xml:space="preserve"> those rates on billings </w:t>
      </w:r>
      <w:r w:rsidR="00614D80">
        <w:t>in</w:t>
      </w:r>
      <w:r w:rsidRPr="00E51D0E">
        <w:t xml:space="preserve"> the subsequent years and </w:t>
      </w:r>
      <w:r w:rsidR="00614D80">
        <w:t xml:space="preserve">potentially could </w:t>
      </w:r>
      <w:r w:rsidRPr="00E51D0E">
        <w:t xml:space="preserve">bill amounts up to the </w:t>
      </w:r>
      <w:r>
        <w:t xml:space="preserve">contract maximum </w:t>
      </w:r>
      <w:r w:rsidRPr="00E51D0E">
        <w:t xml:space="preserve">(not to exceed limit). </w:t>
      </w:r>
      <w:r>
        <w:t>E</w:t>
      </w:r>
      <w:r w:rsidRPr="00E51D0E">
        <w:t xml:space="preserve">.g., If the Company’s </w:t>
      </w:r>
      <w:r w:rsidR="00614D80">
        <w:t xml:space="preserve">approved </w:t>
      </w:r>
      <w:r w:rsidRPr="00E51D0E">
        <w:t>rates for years 2 and 3 are 166% and 180%, respectively, then</w:t>
      </w:r>
      <w:r w:rsidR="000C361D">
        <w:t xml:space="preserve"> the billing rates, as applied to an </w:t>
      </w:r>
      <w:r w:rsidR="000C361D" w:rsidRPr="002260F1">
        <w:t xml:space="preserve">actual-cost-plus-fixed-fee </w:t>
      </w:r>
      <w:r w:rsidR="000C361D">
        <w:t>contract, are as follows</w:t>
      </w:r>
      <w:r w:rsidRPr="00E51D0E">
        <w:t>:</w:t>
      </w:r>
    </w:p>
    <w:tbl>
      <w:tblPr>
        <w:tblW w:w="7735" w:type="dxa"/>
        <w:tblInd w:w="815" w:type="dxa"/>
        <w:tblCellMar>
          <w:left w:w="0" w:type="dxa"/>
          <w:right w:w="0" w:type="dxa"/>
        </w:tblCellMar>
        <w:tblLook w:val="04A0" w:firstRow="1" w:lastRow="0" w:firstColumn="1" w:lastColumn="0" w:noHBand="0" w:noVBand="1"/>
      </w:tblPr>
      <w:tblGrid>
        <w:gridCol w:w="4855"/>
        <w:gridCol w:w="960"/>
        <w:gridCol w:w="960"/>
        <w:gridCol w:w="960"/>
      </w:tblGrid>
      <w:tr w:rsidR="00E51D0E" w14:paraId="59C5310E" w14:textId="77777777" w:rsidTr="00F36F68">
        <w:trPr>
          <w:trHeight w:val="300"/>
        </w:trPr>
        <w:tc>
          <w:tcPr>
            <w:tcW w:w="4855" w:type="dxa"/>
            <w:noWrap/>
            <w:tcMar>
              <w:top w:w="0" w:type="dxa"/>
              <w:left w:w="108" w:type="dxa"/>
              <w:bottom w:w="0" w:type="dxa"/>
              <w:right w:w="108" w:type="dxa"/>
            </w:tcMar>
            <w:vAlign w:val="bottom"/>
            <w:hideMark/>
          </w:tcPr>
          <w:p w14:paraId="1FD91271" w14:textId="77777777" w:rsidR="00E51D0E" w:rsidRDefault="00E51D0E" w:rsidP="00772B5D">
            <w:pPr>
              <w:spacing w:line="240" w:lineRule="auto"/>
              <w:rPr>
                <w:rFonts w:ascii="Trebuchet MS" w:hAnsi="Trebuchet MS"/>
                <w:color w:val="002060"/>
                <w:sz w:val="20"/>
                <w:szCs w:val="20"/>
              </w:rPr>
            </w:pPr>
          </w:p>
        </w:tc>
        <w:tc>
          <w:tcPr>
            <w:tcW w:w="960" w:type="dxa"/>
            <w:noWrap/>
            <w:tcMar>
              <w:top w:w="0" w:type="dxa"/>
              <w:left w:w="108" w:type="dxa"/>
              <w:bottom w:w="0" w:type="dxa"/>
              <w:right w:w="108" w:type="dxa"/>
            </w:tcMar>
            <w:vAlign w:val="center"/>
            <w:hideMark/>
          </w:tcPr>
          <w:p w14:paraId="65A537EA" w14:textId="77777777" w:rsidR="00E51D0E" w:rsidRDefault="00E51D0E" w:rsidP="00772B5D">
            <w:pPr>
              <w:spacing w:line="240" w:lineRule="auto"/>
              <w:jc w:val="center"/>
              <w:rPr>
                <w:rFonts w:ascii="Calibri" w:hAnsi="Calibri" w:cs="Calibri"/>
                <w:b/>
                <w:bCs/>
                <w:color w:val="000000"/>
                <w:u w:val="single"/>
              </w:rPr>
            </w:pPr>
            <w:r>
              <w:rPr>
                <w:b/>
                <w:bCs/>
                <w:color w:val="000000"/>
                <w:u w:val="single"/>
              </w:rPr>
              <w:t>Year 1</w:t>
            </w:r>
          </w:p>
        </w:tc>
        <w:tc>
          <w:tcPr>
            <w:tcW w:w="960" w:type="dxa"/>
            <w:noWrap/>
            <w:tcMar>
              <w:top w:w="0" w:type="dxa"/>
              <w:left w:w="108" w:type="dxa"/>
              <w:bottom w:w="0" w:type="dxa"/>
              <w:right w:w="108" w:type="dxa"/>
            </w:tcMar>
            <w:vAlign w:val="center"/>
            <w:hideMark/>
          </w:tcPr>
          <w:p w14:paraId="0E5EF510" w14:textId="77777777" w:rsidR="00E51D0E" w:rsidRDefault="00E51D0E" w:rsidP="00772B5D">
            <w:pPr>
              <w:spacing w:line="240" w:lineRule="auto"/>
              <w:jc w:val="center"/>
              <w:rPr>
                <w:b/>
                <w:bCs/>
                <w:color w:val="000000"/>
                <w:u w:val="single"/>
              </w:rPr>
            </w:pPr>
            <w:r>
              <w:rPr>
                <w:b/>
                <w:bCs/>
                <w:color w:val="000000"/>
                <w:u w:val="single"/>
              </w:rPr>
              <w:t>Year 2</w:t>
            </w:r>
          </w:p>
        </w:tc>
        <w:tc>
          <w:tcPr>
            <w:tcW w:w="960" w:type="dxa"/>
            <w:noWrap/>
            <w:tcMar>
              <w:top w:w="0" w:type="dxa"/>
              <w:left w:w="108" w:type="dxa"/>
              <w:bottom w:w="0" w:type="dxa"/>
              <w:right w:w="108" w:type="dxa"/>
            </w:tcMar>
            <w:vAlign w:val="center"/>
            <w:hideMark/>
          </w:tcPr>
          <w:p w14:paraId="6BEC0D40" w14:textId="77777777" w:rsidR="00E51D0E" w:rsidRDefault="00E51D0E" w:rsidP="00772B5D">
            <w:pPr>
              <w:spacing w:line="240" w:lineRule="auto"/>
              <w:jc w:val="center"/>
              <w:rPr>
                <w:b/>
                <w:bCs/>
                <w:color w:val="000000"/>
                <w:u w:val="single"/>
              </w:rPr>
            </w:pPr>
            <w:r>
              <w:rPr>
                <w:b/>
                <w:bCs/>
                <w:color w:val="000000"/>
                <w:u w:val="single"/>
              </w:rPr>
              <w:t>Year 3</w:t>
            </w:r>
          </w:p>
        </w:tc>
      </w:tr>
      <w:tr w:rsidR="00E51D0E" w14:paraId="6021F260" w14:textId="77777777" w:rsidTr="00CC7A8A">
        <w:trPr>
          <w:trHeight w:val="324"/>
        </w:trPr>
        <w:tc>
          <w:tcPr>
            <w:tcW w:w="4855" w:type="dxa"/>
            <w:noWrap/>
            <w:tcMar>
              <w:top w:w="0" w:type="dxa"/>
              <w:left w:w="108" w:type="dxa"/>
              <w:bottom w:w="0" w:type="dxa"/>
              <w:right w:w="108" w:type="dxa"/>
            </w:tcMar>
            <w:vAlign w:val="bottom"/>
            <w:hideMark/>
          </w:tcPr>
          <w:p w14:paraId="7CF7D9FF" w14:textId="52F2BE26" w:rsidR="00E51D0E" w:rsidRDefault="00E51D0E" w:rsidP="00772B5D">
            <w:pPr>
              <w:spacing w:line="240" w:lineRule="auto"/>
              <w:jc w:val="center"/>
              <w:rPr>
                <w:color w:val="000000"/>
              </w:rPr>
            </w:pPr>
            <w:r>
              <w:rPr>
                <w:color w:val="000000"/>
              </w:rPr>
              <w:t xml:space="preserve">Indirect </w:t>
            </w:r>
            <w:r w:rsidR="006E6D6D">
              <w:rPr>
                <w:color w:val="000000"/>
              </w:rPr>
              <w:t>c</w:t>
            </w:r>
            <w:r>
              <w:rPr>
                <w:color w:val="000000"/>
              </w:rPr>
              <w:t xml:space="preserve">ost </w:t>
            </w:r>
            <w:r w:rsidR="006E6D6D">
              <w:rPr>
                <w:color w:val="000000"/>
              </w:rPr>
              <w:t>r</w:t>
            </w:r>
            <w:r>
              <w:rPr>
                <w:color w:val="000000"/>
              </w:rPr>
              <w:t xml:space="preserve">ate </w:t>
            </w:r>
            <w:r w:rsidR="006E6D6D">
              <w:rPr>
                <w:color w:val="000000"/>
              </w:rPr>
              <w:t>b</w:t>
            </w:r>
            <w:r>
              <w:rPr>
                <w:color w:val="000000"/>
              </w:rPr>
              <w:t>ille</w:t>
            </w:r>
            <w:r w:rsidR="00621E98">
              <w:rPr>
                <w:color w:val="000000"/>
              </w:rPr>
              <w:t>d</w:t>
            </w:r>
          </w:p>
        </w:tc>
        <w:tc>
          <w:tcPr>
            <w:tcW w:w="960" w:type="dxa"/>
            <w:noWrap/>
            <w:tcMar>
              <w:top w:w="0" w:type="dxa"/>
              <w:left w:w="108" w:type="dxa"/>
              <w:bottom w:w="0" w:type="dxa"/>
              <w:right w:w="108" w:type="dxa"/>
            </w:tcMar>
            <w:vAlign w:val="bottom"/>
            <w:hideMark/>
          </w:tcPr>
          <w:p w14:paraId="4B730BC4" w14:textId="77777777" w:rsidR="00E51D0E" w:rsidRDefault="00E51D0E" w:rsidP="00772B5D">
            <w:pPr>
              <w:spacing w:line="240" w:lineRule="auto"/>
              <w:jc w:val="center"/>
              <w:rPr>
                <w:color w:val="000000"/>
              </w:rPr>
            </w:pPr>
            <w:r>
              <w:rPr>
                <w:color w:val="000000"/>
              </w:rPr>
              <w:t>150%</w:t>
            </w:r>
          </w:p>
        </w:tc>
        <w:tc>
          <w:tcPr>
            <w:tcW w:w="960" w:type="dxa"/>
            <w:noWrap/>
            <w:tcMar>
              <w:top w:w="0" w:type="dxa"/>
              <w:left w:w="108" w:type="dxa"/>
              <w:bottom w:w="0" w:type="dxa"/>
              <w:right w:w="108" w:type="dxa"/>
            </w:tcMar>
            <w:vAlign w:val="bottom"/>
            <w:hideMark/>
          </w:tcPr>
          <w:p w14:paraId="1797290F" w14:textId="77777777" w:rsidR="00E51D0E" w:rsidRDefault="00E51D0E" w:rsidP="00772B5D">
            <w:pPr>
              <w:spacing w:line="240" w:lineRule="auto"/>
              <w:jc w:val="center"/>
              <w:rPr>
                <w:color w:val="000000"/>
              </w:rPr>
            </w:pPr>
            <w:r>
              <w:rPr>
                <w:color w:val="000000"/>
              </w:rPr>
              <w:t>166%</w:t>
            </w:r>
          </w:p>
        </w:tc>
        <w:tc>
          <w:tcPr>
            <w:tcW w:w="960" w:type="dxa"/>
            <w:noWrap/>
            <w:tcMar>
              <w:top w:w="0" w:type="dxa"/>
              <w:left w:w="108" w:type="dxa"/>
              <w:bottom w:w="0" w:type="dxa"/>
              <w:right w:w="108" w:type="dxa"/>
            </w:tcMar>
            <w:vAlign w:val="bottom"/>
            <w:hideMark/>
          </w:tcPr>
          <w:p w14:paraId="1D0EE989" w14:textId="77777777" w:rsidR="00E51D0E" w:rsidRDefault="00E51D0E" w:rsidP="00772B5D">
            <w:pPr>
              <w:spacing w:line="240" w:lineRule="auto"/>
              <w:jc w:val="center"/>
              <w:rPr>
                <w:color w:val="000000"/>
              </w:rPr>
            </w:pPr>
            <w:r>
              <w:rPr>
                <w:color w:val="000000"/>
              </w:rPr>
              <w:t>180%</w:t>
            </w:r>
          </w:p>
        </w:tc>
      </w:tr>
    </w:tbl>
    <w:p w14:paraId="12CF425E" w14:textId="1786A817" w:rsidR="00EC4754" w:rsidRPr="00E55DC5" w:rsidRDefault="00DE2E9F" w:rsidP="00772B5D">
      <w:pPr>
        <w:pStyle w:val="NOTESPG"/>
        <w:ind w:left="720"/>
        <w:jc w:val="both"/>
        <w:rPr>
          <w:rFonts w:asciiTheme="minorHAnsi" w:hAnsiTheme="minorHAnsi" w:cstheme="minorHAnsi"/>
          <w:b w:val="0"/>
          <w:bCs w:val="0"/>
          <w:u w:val="none"/>
        </w:rPr>
      </w:pPr>
      <w:r w:rsidRPr="00E55DC5">
        <w:rPr>
          <w:rFonts w:asciiTheme="minorHAnsi" w:hAnsiTheme="minorHAnsi" w:cstheme="minorHAnsi"/>
        </w:rPr>
        <w:t>Note</w:t>
      </w:r>
      <w:r w:rsidRPr="00E55DC5">
        <w:rPr>
          <w:rFonts w:asciiTheme="minorHAnsi" w:hAnsiTheme="minorHAnsi" w:cstheme="minorHAnsi"/>
          <w:b w:val="0"/>
          <w:bCs w:val="0"/>
          <w:u w:val="none"/>
        </w:rPr>
        <w:t xml:space="preserve">: For the sake of brevity, the above examples depict an A/E firm with a unitary/corporate rate structure. For firms with separate indirect cost rates for Home Office and Field Offices, </w:t>
      </w:r>
      <w:r w:rsidR="00E55DC5" w:rsidRPr="00E55DC5">
        <w:rPr>
          <w:rFonts w:asciiTheme="minorHAnsi" w:hAnsiTheme="minorHAnsi" w:cstheme="minorHAnsi"/>
          <w:b w:val="0"/>
          <w:bCs w:val="0"/>
          <w:u w:val="none"/>
        </w:rPr>
        <w:t>the same basic procedures regarding cost estimates and billings would apply</w:t>
      </w:r>
      <w:r w:rsidR="00E55DC5">
        <w:rPr>
          <w:rFonts w:asciiTheme="minorHAnsi" w:hAnsiTheme="minorHAnsi" w:cstheme="minorHAnsi"/>
          <w:b w:val="0"/>
          <w:bCs w:val="0"/>
          <w:u w:val="none"/>
        </w:rPr>
        <w:t>; that is, th</w:t>
      </w:r>
      <w:r w:rsidR="00E55DC5" w:rsidRPr="00E55DC5">
        <w:rPr>
          <w:rFonts w:asciiTheme="minorHAnsi" w:hAnsiTheme="minorHAnsi" w:cstheme="minorHAnsi"/>
          <w:b w:val="0"/>
          <w:bCs w:val="0"/>
          <w:u w:val="none"/>
        </w:rPr>
        <w:t xml:space="preserve">e post-PPP rates would be used </w:t>
      </w:r>
      <w:r w:rsidR="00213BA6">
        <w:rPr>
          <w:rFonts w:asciiTheme="minorHAnsi" w:hAnsiTheme="minorHAnsi" w:cstheme="minorHAnsi"/>
          <w:b w:val="0"/>
          <w:bCs w:val="0"/>
          <w:u w:val="none"/>
        </w:rPr>
        <w:t xml:space="preserve">in </w:t>
      </w:r>
      <w:r w:rsidR="001449B8">
        <w:rPr>
          <w:rFonts w:asciiTheme="minorHAnsi" w:hAnsiTheme="minorHAnsi" w:cstheme="minorHAnsi"/>
          <w:b w:val="0"/>
          <w:bCs w:val="0"/>
          <w:u w:val="none"/>
        </w:rPr>
        <w:t>y</w:t>
      </w:r>
      <w:r w:rsidR="00E55DC5" w:rsidRPr="00E55DC5">
        <w:rPr>
          <w:rFonts w:asciiTheme="minorHAnsi" w:hAnsiTheme="minorHAnsi" w:cstheme="minorHAnsi"/>
          <w:b w:val="0"/>
          <w:bCs w:val="0"/>
          <w:u w:val="none"/>
        </w:rPr>
        <w:t xml:space="preserve">ear 1 </w:t>
      </w:r>
      <w:r w:rsidR="00213BA6">
        <w:rPr>
          <w:rFonts w:asciiTheme="minorHAnsi" w:hAnsiTheme="minorHAnsi" w:cstheme="minorHAnsi"/>
          <w:b w:val="0"/>
          <w:bCs w:val="0"/>
          <w:u w:val="none"/>
        </w:rPr>
        <w:t>for</w:t>
      </w:r>
      <w:r w:rsidR="00E55DC5" w:rsidRPr="00E55DC5">
        <w:rPr>
          <w:rFonts w:asciiTheme="minorHAnsi" w:hAnsiTheme="minorHAnsi" w:cstheme="minorHAnsi"/>
          <w:b w:val="0"/>
          <w:bCs w:val="0"/>
          <w:u w:val="none"/>
        </w:rPr>
        <w:t xml:space="preserve"> billings and cost estimations</w:t>
      </w:r>
      <w:r w:rsidR="00614D80">
        <w:rPr>
          <w:rFonts w:asciiTheme="minorHAnsi" w:hAnsiTheme="minorHAnsi" w:cstheme="minorHAnsi"/>
          <w:b w:val="0"/>
          <w:bCs w:val="0"/>
          <w:u w:val="none"/>
        </w:rPr>
        <w:t xml:space="preserve"> only</w:t>
      </w:r>
      <w:r w:rsidR="00E55DC5" w:rsidRPr="00E55DC5">
        <w:rPr>
          <w:rFonts w:asciiTheme="minorHAnsi" w:hAnsiTheme="minorHAnsi" w:cstheme="minorHAnsi"/>
          <w:b w:val="0"/>
          <w:bCs w:val="0"/>
          <w:u w:val="none"/>
        </w:rPr>
        <w:t>.</w:t>
      </w:r>
    </w:p>
    <w:p w14:paraId="138E1250" w14:textId="6EBDAC53" w:rsidR="000C361D" w:rsidRDefault="000C361D" w:rsidP="00772B5D">
      <w:pPr>
        <w:spacing w:before="240" w:after="120" w:line="240" w:lineRule="auto"/>
      </w:pPr>
      <w:r>
        <w:rPr>
          <w:b/>
          <w:bCs/>
          <w:u w:val="single"/>
        </w:rPr>
        <w:t xml:space="preserve">V. </w:t>
      </w:r>
      <w:r w:rsidR="00772B5D" w:rsidRPr="00772B5D">
        <w:rPr>
          <w:b/>
          <w:bCs/>
          <w:caps/>
          <w:u w:val="single"/>
        </w:rPr>
        <w:t>Paycheck Protection Program Certification Form</w:t>
      </w:r>
      <w:r w:rsidRPr="000C361D">
        <w:rPr>
          <w:b/>
          <w:bCs/>
        </w:rPr>
        <w:t>.</w:t>
      </w:r>
    </w:p>
    <w:p w14:paraId="6D3FDEF7" w14:textId="397B89C8" w:rsidR="00CC0C1E" w:rsidRDefault="0033662F" w:rsidP="00D71C9A">
      <w:pPr>
        <w:spacing w:after="120" w:line="240" w:lineRule="auto"/>
        <w:jc w:val="both"/>
      </w:pPr>
      <w:r>
        <w:t>New</w:t>
      </w:r>
      <w:r w:rsidR="00D70629">
        <w:t xml:space="preserve"> disclosure requirement</w:t>
      </w:r>
      <w:r w:rsidR="00CC0C1E">
        <w:t>,</w:t>
      </w:r>
      <w:r w:rsidR="00D70629">
        <w:t xml:space="preserve"> </w:t>
      </w:r>
      <w:bookmarkStart w:id="0" w:name="_GoBack"/>
      <w:r w:rsidR="00013734" w:rsidRPr="00013734">
        <w:t>Paycheck Protection Program</w:t>
      </w:r>
      <w:r w:rsidR="00013734">
        <w:t xml:space="preserve"> </w:t>
      </w:r>
      <w:r w:rsidR="00D70629">
        <w:t>Certification Form</w:t>
      </w:r>
      <w:bookmarkEnd w:id="0"/>
      <w:r w:rsidR="00D70629">
        <w:t xml:space="preserve">, </w:t>
      </w:r>
      <w:r w:rsidR="00CC0C1E">
        <w:t xml:space="preserve">as </w:t>
      </w:r>
      <w:r w:rsidR="00D70629">
        <w:t>published on the ODOT External Audits webpage</w:t>
      </w:r>
      <w:r w:rsidR="00CC0C1E">
        <w:t>:</w:t>
      </w:r>
      <w:r w:rsidR="00D70629">
        <w:t xml:space="preserve"> </w:t>
      </w:r>
    </w:p>
    <w:p w14:paraId="022C3260" w14:textId="0A10FD5D" w:rsidR="00D70629" w:rsidRPr="000A7D3A" w:rsidRDefault="00074042" w:rsidP="00772B5D">
      <w:pPr>
        <w:pStyle w:val="NOTESPG"/>
        <w:ind w:left="90" w:right="90"/>
        <w:rPr>
          <w:rFonts w:asciiTheme="minorHAnsi" w:hAnsiTheme="minorHAnsi" w:cstheme="minorHAnsi"/>
          <w:b w:val="0"/>
          <w:bCs w:val="0"/>
          <w:sz w:val="18"/>
          <w:szCs w:val="18"/>
        </w:rPr>
      </w:pPr>
      <w:hyperlink r:id="rId10" w:history="1">
        <w:r w:rsidR="00621E98" w:rsidRPr="00621E98">
          <w:rPr>
            <w:rStyle w:val="Hyperlink"/>
            <w:rFonts w:asciiTheme="minorHAnsi" w:hAnsiTheme="minorHAnsi" w:cstheme="minorHAnsi"/>
            <w:b w:val="0"/>
            <w:bCs w:val="0"/>
            <w:sz w:val="18"/>
            <w:szCs w:val="18"/>
          </w:rPr>
          <w:t>https://www.dot.state.oh.us/Divisions/Finance/Auditing/Templates%20and%20Tools/Paycheck%20Protection%20Program%20(PPP)%20Certification.pdf</w:t>
        </w:r>
      </w:hyperlink>
    </w:p>
    <w:p w14:paraId="34B3F277" w14:textId="77777777" w:rsidR="000135EF" w:rsidRDefault="000135EF" w:rsidP="00772B5D">
      <w:pPr>
        <w:spacing w:line="240" w:lineRule="auto"/>
        <w:rPr>
          <w:rFonts w:ascii="Calibri" w:hAnsi="Calibri"/>
        </w:rPr>
      </w:pPr>
    </w:p>
    <w:p w14:paraId="41862931" w14:textId="09A93E35" w:rsidR="00CC0C1E" w:rsidRDefault="00CC0C1E" w:rsidP="00772B5D">
      <w:pPr>
        <w:spacing w:before="240" w:after="120" w:line="240" w:lineRule="auto"/>
        <w:rPr>
          <w:b/>
          <w:bCs/>
        </w:rPr>
      </w:pPr>
      <w:r>
        <w:rPr>
          <w:b/>
          <w:bCs/>
          <w:u w:val="single"/>
        </w:rPr>
        <w:t>VI. ODOT EXTERAL AUDIT CONTACT</w:t>
      </w:r>
      <w:r w:rsidRPr="000C361D">
        <w:rPr>
          <w:b/>
          <w:bCs/>
        </w:rPr>
        <w:t>.</w:t>
      </w:r>
    </w:p>
    <w:p w14:paraId="3CC44003" w14:textId="15EE7B66" w:rsidR="00CC0C1E" w:rsidRPr="000A7D3A" w:rsidRDefault="00772B5D" w:rsidP="00772B5D">
      <w:pPr>
        <w:spacing w:after="240" w:line="240" w:lineRule="auto"/>
      </w:pPr>
      <w:r>
        <w:t>Direct q</w:t>
      </w:r>
      <w:r w:rsidR="00CC0C1E" w:rsidRPr="000A7D3A">
        <w:t xml:space="preserve">uestions regarding </w:t>
      </w:r>
      <w:r>
        <w:t>PPP loan forgiveness to</w:t>
      </w:r>
      <w:r w:rsidR="000A7D3A" w:rsidRPr="000A7D3A">
        <w:t>:</w:t>
      </w:r>
    </w:p>
    <w:p w14:paraId="4FF5EDDF" w14:textId="77777777" w:rsidR="000A7D3A" w:rsidRDefault="000A7D3A" w:rsidP="00772B5D">
      <w:pPr>
        <w:spacing w:after="0" w:line="240" w:lineRule="auto"/>
      </w:pPr>
      <w:r w:rsidRPr="000A7D3A">
        <w:t>Scot P. Gormley</w:t>
      </w:r>
    </w:p>
    <w:p w14:paraId="5BD10FC4" w14:textId="0AC202E6" w:rsidR="000A7D3A" w:rsidRPr="000A7D3A" w:rsidRDefault="000A7D3A" w:rsidP="00772B5D">
      <w:pPr>
        <w:spacing w:after="0" w:line="240" w:lineRule="auto"/>
      </w:pPr>
      <w:r w:rsidRPr="000A7D3A">
        <w:t>Financial Program Manager</w:t>
      </w:r>
    </w:p>
    <w:p w14:paraId="7E56A931" w14:textId="0AC5B460" w:rsidR="000A7D3A" w:rsidRDefault="000A7D3A" w:rsidP="00772B5D">
      <w:pPr>
        <w:spacing w:after="0" w:line="240" w:lineRule="auto"/>
      </w:pPr>
      <w:r>
        <w:t>ODOT Office of External Audits</w:t>
      </w:r>
    </w:p>
    <w:p w14:paraId="5DA57840" w14:textId="7BA02743" w:rsidR="000A7D3A" w:rsidRDefault="00074042" w:rsidP="00772B5D">
      <w:pPr>
        <w:spacing w:after="0" w:line="240" w:lineRule="auto"/>
      </w:pPr>
      <w:hyperlink r:id="rId11" w:history="1">
        <w:r w:rsidR="000A7D3A" w:rsidRPr="0030127A">
          <w:rPr>
            <w:rStyle w:val="Hyperlink"/>
          </w:rPr>
          <w:t>Scot.Gormley@dot.ohio.gov</w:t>
        </w:r>
      </w:hyperlink>
      <w:r w:rsidR="000A7D3A">
        <w:t xml:space="preserve"> </w:t>
      </w:r>
    </w:p>
    <w:p w14:paraId="653862CF" w14:textId="77777777" w:rsidR="000135EF" w:rsidRDefault="000135EF" w:rsidP="00772B5D">
      <w:pPr>
        <w:spacing w:line="240" w:lineRule="auto"/>
        <w:rPr>
          <w:rFonts w:ascii="Calibri" w:hAnsi="Calibri"/>
        </w:rPr>
      </w:pPr>
    </w:p>
    <w:p w14:paraId="0C7E0129" w14:textId="77777777" w:rsidR="000135EF" w:rsidRDefault="000135EF" w:rsidP="00772B5D">
      <w:pPr>
        <w:spacing w:line="240" w:lineRule="auto"/>
      </w:pPr>
    </w:p>
    <w:p w14:paraId="26987F8C" w14:textId="77777777" w:rsidR="007F2FB6" w:rsidRDefault="007F2FB6" w:rsidP="00772B5D">
      <w:pPr>
        <w:spacing w:line="240" w:lineRule="auto"/>
      </w:pPr>
    </w:p>
    <w:sectPr w:rsidR="007F2FB6" w:rsidSect="0033662F">
      <w:headerReference w:type="default" r:id="rId12"/>
      <w:pgSz w:w="12240" w:h="15840"/>
      <w:pgMar w:top="1440" w:right="1440" w:bottom="630" w:left="1440" w:header="720" w:footer="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3C5C" w14:textId="77777777" w:rsidR="00074042" w:rsidRDefault="00074042" w:rsidP="001449B8">
      <w:pPr>
        <w:spacing w:after="0" w:line="240" w:lineRule="auto"/>
      </w:pPr>
      <w:r>
        <w:separator/>
      </w:r>
    </w:p>
  </w:endnote>
  <w:endnote w:type="continuationSeparator" w:id="0">
    <w:p w14:paraId="5310908C" w14:textId="77777777" w:rsidR="00074042" w:rsidRDefault="00074042" w:rsidP="0014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0881" w14:textId="77777777" w:rsidR="00074042" w:rsidRDefault="00074042" w:rsidP="001449B8">
      <w:pPr>
        <w:spacing w:after="0" w:line="240" w:lineRule="auto"/>
      </w:pPr>
      <w:r>
        <w:separator/>
      </w:r>
    </w:p>
  </w:footnote>
  <w:footnote w:type="continuationSeparator" w:id="0">
    <w:p w14:paraId="7E8DEC68" w14:textId="77777777" w:rsidR="00074042" w:rsidRDefault="00074042" w:rsidP="0014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5458" w14:textId="18A1EEF3" w:rsidR="001449B8" w:rsidRPr="0033662F" w:rsidRDefault="001449B8" w:rsidP="008A1D72">
    <w:pPr>
      <w:pStyle w:val="Header"/>
      <w:tabs>
        <w:tab w:val="clear" w:pos="4680"/>
        <w:tab w:val="clear" w:pos="9360"/>
        <w:tab w:val="center" w:pos="6930"/>
      </w:tabs>
      <w:spacing w:after="20"/>
      <w:ind w:left="720"/>
      <w:jc w:val="right"/>
      <w:rPr>
        <w:rFonts w:ascii="Trebuchet MS" w:hAnsi="Trebuchet MS"/>
      </w:rPr>
    </w:pPr>
    <w:r>
      <w:rPr>
        <w:noProof/>
      </w:rPr>
      <w:drawing>
        <wp:anchor distT="0" distB="0" distL="114300" distR="114300" simplePos="0" relativeHeight="251659264" behindDoc="1" locked="0" layoutInCell="1" allowOverlap="1" wp14:anchorId="514808B5" wp14:editId="08E4EA1E">
          <wp:simplePos x="0" y="0"/>
          <wp:positionH relativeFrom="column">
            <wp:posOffset>-211480</wp:posOffset>
          </wp:positionH>
          <wp:positionV relativeFrom="paragraph">
            <wp:posOffset>-215189</wp:posOffset>
          </wp:positionV>
          <wp:extent cx="2900620" cy="74025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OT-The-Wordmark-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20" cy="74025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3662F">
      <w:t xml:space="preserve"> </w:t>
    </w:r>
    <w:r>
      <w:t xml:space="preserve">                                </w:t>
    </w:r>
    <w:r w:rsidR="008A1D72">
      <w:t xml:space="preserve"> </w:t>
    </w:r>
    <w:r>
      <w:t xml:space="preserve"> </w:t>
    </w:r>
    <w:r w:rsidR="008A1D72" w:rsidRPr="008A1D72">
      <w:rPr>
        <w:rFonts w:ascii="Stencil" w:hAnsi="Stencil"/>
      </w:rPr>
      <w:t>A</w:t>
    </w:r>
    <w:r w:rsidRPr="008A1D72">
      <w:rPr>
        <w:rFonts w:ascii="Stencil" w:hAnsi="Stencil"/>
      </w:rPr>
      <w:t xml:space="preserve">udit Bulletin </w:t>
    </w:r>
    <w:r w:rsidR="008A1D72" w:rsidRPr="008A1D72">
      <w:rPr>
        <w:rFonts w:ascii="Stencil" w:hAnsi="Stencil"/>
      </w:rPr>
      <w:t>084-21</w:t>
    </w:r>
    <w:r w:rsidR="0033662F" w:rsidRPr="0033662F">
      <w:rPr>
        <w:rFonts w:ascii="Stencil" w:hAnsi="Stencil"/>
      </w:rPr>
      <w:t>(Outline FORMAT)</w:t>
    </w:r>
  </w:p>
  <w:p w14:paraId="5DE92EB0" w14:textId="2B18A44F" w:rsidR="001449B8" w:rsidRPr="001449B8" w:rsidRDefault="001449B8" w:rsidP="001449B8">
    <w:pPr>
      <w:pStyle w:val="Header"/>
      <w:tabs>
        <w:tab w:val="clear" w:pos="4680"/>
        <w:tab w:val="clear" w:pos="9360"/>
        <w:tab w:val="center" w:pos="6930"/>
      </w:tabs>
      <w:spacing w:after="40"/>
      <w:ind w:left="720"/>
      <w:rPr>
        <w:rFonts w:ascii="Trebuchet MS" w:hAnsi="Trebuchet MS"/>
      </w:rPr>
    </w:pPr>
    <w:r>
      <w:tab/>
    </w:r>
    <w:r w:rsidRPr="001449B8">
      <w:rPr>
        <w:rFonts w:ascii="Trebuchet MS" w:hAnsi="Trebuchet MS"/>
        <w:sz w:val="20"/>
        <w:szCs w:val="20"/>
      </w:rPr>
      <w:t xml:space="preserve">RE: </w:t>
    </w:r>
    <w:r w:rsidR="00013734" w:rsidRPr="00013734">
      <w:rPr>
        <w:rFonts w:ascii="Trebuchet MS" w:hAnsi="Trebuchet MS"/>
        <w:sz w:val="20"/>
        <w:szCs w:val="20"/>
      </w:rPr>
      <w:t>Paycheck Protection Program</w:t>
    </w:r>
    <w:r w:rsidR="00013734">
      <w:rPr>
        <w:rFonts w:ascii="Trebuchet MS" w:hAnsi="Trebuchet MS"/>
        <w:sz w:val="20"/>
        <w:szCs w:val="20"/>
      </w:rPr>
      <w:t xml:space="preserve"> </w:t>
    </w:r>
    <w:r w:rsidRPr="001449B8">
      <w:rPr>
        <w:rFonts w:ascii="Trebuchet MS" w:hAnsi="Trebuchet MS"/>
        <w:sz w:val="20"/>
        <w:szCs w:val="20"/>
      </w:rPr>
      <w:t>(PPP) Loan Forgiveness</w:t>
    </w:r>
  </w:p>
  <w:p w14:paraId="09A728CF" w14:textId="06C6F1C0" w:rsidR="001449B8" w:rsidRDefault="001449B8" w:rsidP="0033662F">
    <w:pPr>
      <w:pStyle w:val="Header"/>
      <w:pBdr>
        <w:bottom w:val="single" w:sz="12" w:space="1" w:color="auto"/>
      </w:pBdr>
      <w:tabs>
        <w:tab w:val="clear" w:pos="4680"/>
        <w:tab w:val="clear" w:pos="9360"/>
        <w:tab w:val="center" w:pos="6930"/>
      </w:tabs>
      <w:spacing w:after="20"/>
      <w:jc w:val="both"/>
      <w:rPr>
        <w:rFonts w:ascii="Trebuchet MS" w:hAnsi="Trebuchet MS"/>
        <w:sz w:val="20"/>
        <w:szCs w:val="20"/>
      </w:rPr>
    </w:pPr>
    <w:r>
      <w:tab/>
    </w:r>
    <w:r>
      <w:tab/>
    </w:r>
    <w:r>
      <w:tab/>
    </w:r>
    <w:r w:rsidR="0033662F">
      <w:t xml:space="preserve">     </w:t>
    </w:r>
    <w:r w:rsidR="0033662F">
      <w:rPr>
        <w:rFonts w:ascii="Trebuchet MS" w:hAnsi="Trebuchet MS"/>
        <w:sz w:val="20"/>
        <w:szCs w:val="20"/>
      </w:rPr>
      <w:t>April 1, 2021</w:t>
    </w:r>
  </w:p>
  <w:p w14:paraId="7CCA6D06" w14:textId="556B113F" w:rsidR="00CC7A8A" w:rsidRPr="00CC1E8A" w:rsidRDefault="00CC7A8A" w:rsidP="001449B8">
    <w:pPr>
      <w:pStyle w:val="Header"/>
      <w:pBdr>
        <w:bottom w:val="single" w:sz="12" w:space="1" w:color="auto"/>
      </w:pBdr>
      <w:tabs>
        <w:tab w:val="clear" w:pos="4680"/>
        <w:tab w:val="clear" w:pos="9360"/>
        <w:tab w:val="center" w:pos="6930"/>
      </w:tabs>
      <w:spacing w:after="240"/>
      <w:rPr>
        <w:spacing w:val="10"/>
      </w:rPr>
    </w:pPr>
    <w:r>
      <w:rPr>
        <w:rFonts w:ascii="Trebuchet MS" w:hAnsi="Trebuchet MS"/>
        <w:color w:val="7F7F7F" w:themeColor="background1" w:themeShade="7F"/>
        <w:spacing w:val="60"/>
        <w:sz w:val="20"/>
        <w:szCs w:val="20"/>
      </w:rPr>
      <w:tab/>
    </w:r>
    <w:r>
      <w:rPr>
        <w:rFonts w:ascii="Trebuchet MS" w:hAnsi="Trebuchet MS"/>
        <w:color w:val="7F7F7F" w:themeColor="background1" w:themeShade="7F"/>
        <w:spacing w:val="60"/>
        <w:sz w:val="20"/>
        <w:szCs w:val="20"/>
      </w:rPr>
      <w:tab/>
    </w:r>
    <w:r>
      <w:rPr>
        <w:rFonts w:ascii="Trebuchet MS" w:hAnsi="Trebuchet MS"/>
        <w:color w:val="7F7F7F" w:themeColor="background1" w:themeShade="7F"/>
        <w:spacing w:val="60"/>
        <w:sz w:val="20"/>
        <w:szCs w:val="20"/>
      </w:rPr>
      <w:tab/>
      <w:t xml:space="preserve">    </w:t>
    </w:r>
    <w:r w:rsidR="00CC1E8A" w:rsidRPr="00CC1E8A">
      <w:rPr>
        <w:rFonts w:ascii="Trebuchet MS" w:hAnsi="Trebuchet MS"/>
        <w:spacing w:val="10"/>
        <w:sz w:val="20"/>
        <w:szCs w:val="20"/>
      </w:rPr>
      <w:t>(</w:t>
    </w:r>
    <w:r w:rsidRPr="00CC1E8A">
      <w:rPr>
        <w:rFonts w:ascii="Trebuchet MS" w:hAnsi="Trebuchet MS"/>
        <w:spacing w:val="10"/>
        <w:sz w:val="20"/>
        <w:szCs w:val="20"/>
      </w:rPr>
      <w:t xml:space="preserve">Page </w:t>
    </w:r>
    <w:r w:rsidRPr="00CC1E8A">
      <w:rPr>
        <w:rFonts w:ascii="Trebuchet MS" w:hAnsi="Trebuchet MS"/>
        <w:spacing w:val="10"/>
        <w:sz w:val="20"/>
        <w:szCs w:val="20"/>
      </w:rPr>
      <w:fldChar w:fldCharType="begin"/>
    </w:r>
    <w:r w:rsidRPr="00CC1E8A">
      <w:rPr>
        <w:rFonts w:ascii="Trebuchet MS" w:hAnsi="Trebuchet MS"/>
        <w:spacing w:val="10"/>
        <w:sz w:val="20"/>
        <w:szCs w:val="20"/>
      </w:rPr>
      <w:instrText xml:space="preserve"> PAGE   \* MERGEFORMAT </w:instrText>
    </w:r>
    <w:r w:rsidRPr="00CC1E8A">
      <w:rPr>
        <w:rFonts w:ascii="Trebuchet MS" w:hAnsi="Trebuchet MS"/>
        <w:spacing w:val="10"/>
        <w:sz w:val="20"/>
        <w:szCs w:val="20"/>
      </w:rPr>
      <w:fldChar w:fldCharType="separate"/>
    </w:r>
    <w:r w:rsidRPr="00CC1E8A">
      <w:rPr>
        <w:rFonts w:ascii="Trebuchet MS" w:hAnsi="Trebuchet MS"/>
        <w:b/>
        <w:bCs/>
        <w:noProof/>
        <w:spacing w:val="10"/>
        <w:sz w:val="20"/>
        <w:szCs w:val="20"/>
      </w:rPr>
      <w:t>1</w:t>
    </w:r>
    <w:r w:rsidRPr="00CC1E8A">
      <w:rPr>
        <w:rFonts w:ascii="Trebuchet MS" w:hAnsi="Trebuchet MS"/>
        <w:b/>
        <w:bCs/>
        <w:noProof/>
        <w:spacing w:val="10"/>
        <w:sz w:val="20"/>
        <w:szCs w:val="20"/>
      </w:rPr>
      <w:fldChar w:fldCharType="end"/>
    </w:r>
    <w:r w:rsidR="00CC1E8A" w:rsidRPr="00CC1E8A">
      <w:rPr>
        <w:rFonts w:ascii="Trebuchet MS" w:hAnsi="Trebuchet MS"/>
        <w:b/>
        <w:bCs/>
        <w:noProof/>
        <w:spacing w:val="1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30"/>
    <w:multiLevelType w:val="hybridMultilevel"/>
    <w:tmpl w:val="5E42A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5722C"/>
    <w:multiLevelType w:val="hybridMultilevel"/>
    <w:tmpl w:val="879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0DA8"/>
    <w:multiLevelType w:val="hybridMultilevel"/>
    <w:tmpl w:val="16725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713C7"/>
    <w:multiLevelType w:val="hybridMultilevel"/>
    <w:tmpl w:val="C21C3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1654D"/>
    <w:multiLevelType w:val="hybridMultilevel"/>
    <w:tmpl w:val="1C346184"/>
    <w:lvl w:ilvl="0" w:tplc="04090005">
      <w:start w:val="1"/>
      <w:numFmt w:val="bullet"/>
      <w:lvlText w:val=""/>
      <w:lvlJc w:val="left"/>
      <w:pPr>
        <w:ind w:left="879" w:hanging="484"/>
        <w:jc w:val="right"/>
      </w:pPr>
      <w:rPr>
        <w:rFonts w:ascii="Wingdings" w:hAnsi="Wingdings" w:hint="default"/>
        <w:spacing w:val="-7"/>
        <w:w w:val="100"/>
        <w:sz w:val="22"/>
        <w:szCs w:val="22"/>
        <w:lang w:val="en-US" w:eastAsia="en-US" w:bidi="ar-SA"/>
      </w:rPr>
    </w:lvl>
    <w:lvl w:ilvl="1" w:tplc="B35C3CD8">
      <w:numFmt w:val="bullet"/>
      <w:lvlText w:val="•"/>
      <w:lvlJc w:val="left"/>
      <w:pPr>
        <w:ind w:left="1904" w:hanging="484"/>
      </w:pPr>
      <w:rPr>
        <w:rFonts w:hint="default"/>
        <w:lang w:val="en-US" w:eastAsia="en-US" w:bidi="ar-SA"/>
      </w:rPr>
    </w:lvl>
    <w:lvl w:ilvl="2" w:tplc="B16AD4BE">
      <w:numFmt w:val="bullet"/>
      <w:lvlText w:val="•"/>
      <w:lvlJc w:val="left"/>
      <w:pPr>
        <w:ind w:left="2928" w:hanging="484"/>
      </w:pPr>
      <w:rPr>
        <w:rFonts w:hint="default"/>
        <w:lang w:val="en-US" w:eastAsia="en-US" w:bidi="ar-SA"/>
      </w:rPr>
    </w:lvl>
    <w:lvl w:ilvl="3" w:tplc="30CEBEA4">
      <w:numFmt w:val="bullet"/>
      <w:lvlText w:val="•"/>
      <w:lvlJc w:val="left"/>
      <w:pPr>
        <w:ind w:left="3952" w:hanging="484"/>
      </w:pPr>
      <w:rPr>
        <w:rFonts w:hint="default"/>
        <w:lang w:val="en-US" w:eastAsia="en-US" w:bidi="ar-SA"/>
      </w:rPr>
    </w:lvl>
    <w:lvl w:ilvl="4" w:tplc="244E2164">
      <w:numFmt w:val="bullet"/>
      <w:lvlText w:val="•"/>
      <w:lvlJc w:val="left"/>
      <w:pPr>
        <w:ind w:left="4976" w:hanging="484"/>
      </w:pPr>
      <w:rPr>
        <w:rFonts w:hint="default"/>
        <w:lang w:val="en-US" w:eastAsia="en-US" w:bidi="ar-SA"/>
      </w:rPr>
    </w:lvl>
    <w:lvl w:ilvl="5" w:tplc="4C9A2AA0">
      <w:numFmt w:val="bullet"/>
      <w:lvlText w:val="•"/>
      <w:lvlJc w:val="left"/>
      <w:pPr>
        <w:ind w:left="6000" w:hanging="484"/>
      </w:pPr>
      <w:rPr>
        <w:rFonts w:hint="default"/>
        <w:lang w:val="en-US" w:eastAsia="en-US" w:bidi="ar-SA"/>
      </w:rPr>
    </w:lvl>
    <w:lvl w:ilvl="6" w:tplc="9E9C629C">
      <w:numFmt w:val="bullet"/>
      <w:lvlText w:val="•"/>
      <w:lvlJc w:val="left"/>
      <w:pPr>
        <w:ind w:left="7024" w:hanging="484"/>
      </w:pPr>
      <w:rPr>
        <w:rFonts w:hint="default"/>
        <w:lang w:val="en-US" w:eastAsia="en-US" w:bidi="ar-SA"/>
      </w:rPr>
    </w:lvl>
    <w:lvl w:ilvl="7" w:tplc="82AC6A1A">
      <w:numFmt w:val="bullet"/>
      <w:lvlText w:val="•"/>
      <w:lvlJc w:val="left"/>
      <w:pPr>
        <w:ind w:left="8048" w:hanging="484"/>
      </w:pPr>
      <w:rPr>
        <w:rFonts w:hint="default"/>
        <w:lang w:val="en-US" w:eastAsia="en-US" w:bidi="ar-SA"/>
      </w:rPr>
    </w:lvl>
    <w:lvl w:ilvl="8" w:tplc="D4C88B86">
      <w:numFmt w:val="bullet"/>
      <w:lvlText w:val="•"/>
      <w:lvlJc w:val="left"/>
      <w:pPr>
        <w:ind w:left="9072" w:hanging="484"/>
      </w:pPr>
      <w:rPr>
        <w:rFonts w:hint="default"/>
        <w:lang w:val="en-US" w:eastAsia="en-US" w:bidi="ar-SA"/>
      </w:rPr>
    </w:lvl>
  </w:abstractNum>
  <w:abstractNum w:abstractNumId="5" w15:restartNumberingAfterBreak="0">
    <w:nsid w:val="40077FCD"/>
    <w:multiLevelType w:val="hybridMultilevel"/>
    <w:tmpl w:val="76889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7217E"/>
    <w:multiLevelType w:val="hybridMultilevel"/>
    <w:tmpl w:val="2880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A00436"/>
    <w:multiLevelType w:val="hybridMultilevel"/>
    <w:tmpl w:val="8384C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58036E"/>
    <w:multiLevelType w:val="hybridMultilevel"/>
    <w:tmpl w:val="936C02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6"/>
    <w:rsid w:val="000100B0"/>
    <w:rsid w:val="000135EF"/>
    <w:rsid w:val="00013734"/>
    <w:rsid w:val="00074042"/>
    <w:rsid w:val="000A7D3A"/>
    <w:rsid w:val="000C361D"/>
    <w:rsid w:val="000F7D09"/>
    <w:rsid w:val="001021BF"/>
    <w:rsid w:val="001449B8"/>
    <w:rsid w:val="00150D0C"/>
    <w:rsid w:val="00176B74"/>
    <w:rsid w:val="001E70E3"/>
    <w:rsid w:val="00213BA6"/>
    <w:rsid w:val="002260F1"/>
    <w:rsid w:val="00233AF3"/>
    <w:rsid w:val="00253FF8"/>
    <w:rsid w:val="003049F3"/>
    <w:rsid w:val="0032051E"/>
    <w:rsid w:val="0033662F"/>
    <w:rsid w:val="00345514"/>
    <w:rsid w:val="00377A75"/>
    <w:rsid w:val="00395C5B"/>
    <w:rsid w:val="00541098"/>
    <w:rsid w:val="00614D80"/>
    <w:rsid w:val="00621E98"/>
    <w:rsid w:val="0063462C"/>
    <w:rsid w:val="006472C4"/>
    <w:rsid w:val="006A6379"/>
    <w:rsid w:val="006B41D2"/>
    <w:rsid w:val="006E6D6D"/>
    <w:rsid w:val="007300F5"/>
    <w:rsid w:val="00772B5D"/>
    <w:rsid w:val="007A19AE"/>
    <w:rsid w:val="007F2FB6"/>
    <w:rsid w:val="00802353"/>
    <w:rsid w:val="008A1D72"/>
    <w:rsid w:val="00913914"/>
    <w:rsid w:val="00A14DED"/>
    <w:rsid w:val="00A719E5"/>
    <w:rsid w:val="00A87856"/>
    <w:rsid w:val="00AF2CA4"/>
    <w:rsid w:val="00AF406C"/>
    <w:rsid w:val="00B238B0"/>
    <w:rsid w:val="00B51C6C"/>
    <w:rsid w:val="00C115C0"/>
    <w:rsid w:val="00C670B3"/>
    <w:rsid w:val="00CB1519"/>
    <w:rsid w:val="00CC0C1E"/>
    <w:rsid w:val="00CC1E8A"/>
    <w:rsid w:val="00CC7A8A"/>
    <w:rsid w:val="00CE59CA"/>
    <w:rsid w:val="00D15B94"/>
    <w:rsid w:val="00D70629"/>
    <w:rsid w:val="00D71C9A"/>
    <w:rsid w:val="00DA1B45"/>
    <w:rsid w:val="00DC18ED"/>
    <w:rsid w:val="00DC31E9"/>
    <w:rsid w:val="00DD7FF0"/>
    <w:rsid w:val="00DE2E9F"/>
    <w:rsid w:val="00DE6182"/>
    <w:rsid w:val="00E2506C"/>
    <w:rsid w:val="00E476D3"/>
    <w:rsid w:val="00E51D0E"/>
    <w:rsid w:val="00E55DC5"/>
    <w:rsid w:val="00EA5981"/>
    <w:rsid w:val="00EC4754"/>
    <w:rsid w:val="00F36F68"/>
    <w:rsid w:val="00F50DA5"/>
    <w:rsid w:val="00FE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B5A1"/>
  <w15:chartTrackingRefBased/>
  <w15:docId w15:val="{1E2F5F55-7FF1-49C8-B27E-8CDA6115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B6"/>
    <w:pPr>
      <w:ind w:left="720"/>
      <w:contextualSpacing/>
    </w:pPr>
  </w:style>
  <w:style w:type="paragraph" w:styleId="BalloonText">
    <w:name w:val="Balloon Text"/>
    <w:basedOn w:val="Normal"/>
    <w:link w:val="BalloonTextChar"/>
    <w:uiPriority w:val="99"/>
    <w:semiHidden/>
    <w:unhideWhenUsed/>
    <w:rsid w:val="0022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F1"/>
    <w:rPr>
      <w:rFonts w:ascii="Segoe UI" w:hAnsi="Segoe UI" w:cs="Segoe UI"/>
      <w:sz w:val="18"/>
      <w:szCs w:val="18"/>
    </w:rPr>
  </w:style>
  <w:style w:type="character" w:styleId="Strong">
    <w:name w:val="Strong"/>
    <w:basedOn w:val="DefaultParagraphFont"/>
    <w:uiPriority w:val="22"/>
    <w:qFormat/>
    <w:rsid w:val="00DE6182"/>
    <w:rPr>
      <w:b/>
      <w:bCs/>
    </w:rPr>
  </w:style>
  <w:style w:type="paragraph" w:customStyle="1" w:styleId="NOTESPG">
    <w:name w:val="NOTESPG"/>
    <w:basedOn w:val="Normal"/>
    <w:link w:val="NOTESPGChar"/>
    <w:qFormat/>
    <w:rsid w:val="00E55DC5"/>
    <w:pPr>
      <w:pBdr>
        <w:top w:val="single" w:sz="18" w:space="4" w:color="auto"/>
        <w:left w:val="single" w:sz="4" w:space="4" w:color="auto"/>
        <w:bottom w:val="single" w:sz="18" w:space="4" w:color="auto"/>
        <w:right w:val="single" w:sz="4" w:space="4" w:color="auto"/>
      </w:pBdr>
      <w:shd w:val="clear" w:color="auto" w:fill="D9D9D9" w:themeFill="background1" w:themeFillShade="D9"/>
      <w:spacing w:after="60" w:line="240" w:lineRule="auto"/>
      <w:ind w:left="187"/>
    </w:pPr>
    <w:rPr>
      <w:rFonts w:ascii="Trebuchet MS" w:hAnsi="Trebuchet MS"/>
      <w:b/>
      <w:bCs/>
      <w:sz w:val="20"/>
      <w:szCs w:val="20"/>
      <w:u w:val="single"/>
    </w:rPr>
  </w:style>
  <w:style w:type="character" w:customStyle="1" w:styleId="NOTESPGChar">
    <w:name w:val="NOTESPG Char"/>
    <w:basedOn w:val="DefaultParagraphFont"/>
    <w:link w:val="NOTESPG"/>
    <w:rsid w:val="00E55DC5"/>
    <w:rPr>
      <w:rFonts w:ascii="Trebuchet MS" w:hAnsi="Trebuchet MS"/>
      <w:b/>
      <w:bCs/>
      <w:sz w:val="20"/>
      <w:szCs w:val="20"/>
      <w:u w:val="single"/>
      <w:shd w:val="clear" w:color="auto" w:fill="D9D9D9" w:themeFill="background1" w:themeFillShade="D9"/>
    </w:rPr>
  </w:style>
  <w:style w:type="paragraph" w:styleId="Header">
    <w:name w:val="header"/>
    <w:basedOn w:val="Normal"/>
    <w:link w:val="HeaderChar"/>
    <w:uiPriority w:val="99"/>
    <w:unhideWhenUsed/>
    <w:rsid w:val="0014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B8"/>
  </w:style>
  <w:style w:type="paragraph" w:styleId="Footer">
    <w:name w:val="footer"/>
    <w:basedOn w:val="Normal"/>
    <w:link w:val="FooterChar"/>
    <w:uiPriority w:val="99"/>
    <w:unhideWhenUsed/>
    <w:rsid w:val="0014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B8"/>
  </w:style>
  <w:style w:type="character" w:styleId="Hyperlink">
    <w:name w:val="Hyperlink"/>
    <w:basedOn w:val="DefaultParagraphFont"/>
    <w:uiPriority w:val="99"/>
    <w:unhideWhenUsed/>
    <w:rsid w:val="00D70629"/>
    <w:rPr>
      <w:color w:val="0563C1" w:themeColor="hyperlink"/>
      <w:u w:val="single"/>
    </w:rPr>
  </w:style>
  <w:style w:type="character" w:styleId="UnresolvedMention">
    <w:name w:val="Unresolved Mention"/>
    <w:basedOn w:val="DefaultParagraphFont"/>
    <w:uiPriority w:val="99"/>
    <w:semiHidden/>
    <w:unhideWhenUsed/>
    <w:rsid w:val="00D70629"/>
    <w:rPr>
      <w:color w:val="605E5C"/>
      <w:shd w:val="clear" w:color="auto" w:fill="E1DFDD"/>
    </w:rPr>
  </w:style>
  <w:style w:type="paragraph" w:styleId="FootnoteText">
    <w:name w:val="footnote text"/>
    <w:basedOn w:val="Normal"/>
    <w:link w:val="FootnoteTextChar"/>
    <w:uiPriority w:val="99"/>
    <w:semiHidden/>
    <w:unhideWhenUsed/>
    <w:rsid w:val="00CC0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C1E"/>
    <w:rPr>
      <w:sz w:val="20"/>
      <w:szCs w:val="20"/>
    </w:rPr>
  </w:style>
  <w:style w:type="character" w:styleId="FootnoteReference">
    <w:name w:val="footnote reference"/>
    <w:basedOn w:val="DefaultParagraphFont"/>
    <w:uiPriority w:val="99"/>
    <w:semiHidden/>
    <w:unhideWhenUsed/>
    <w:rsid w:val="00CC0C1E"/>
    <w:rPr>
      <w:vertAlign w:val="superscript"/>
    </w:rPr>
  </w:style>
  <w:style w:type="character" w:styleId="FollowedHyperlink">
    <w:name w:val="FollowedHyperlink"/>
    <w:basedOn w:val="DefaultParagraphFont"/>
    <w:uiPriority w:val="99"/>
    <w:semiHidden/>
    <w:unhideWhenUsed/>
    <w:rsid w:val="00621E98"/>
    <w:rPr>
      <w:color w:val="954F72" w:themeColor="followedHyperlink"/>
      <w:u w:val="single"/>
    </w:rPr>
  </w:style>
  <w:style w:type="paragraph" w:styleId="Title">
    <w:name w:val="Title"/>
    <w:basedOn w:val="Normal"/>
    <w:next w:val="Normal"/>
    <w:link w:val="TitleChar"/>
    <w:uiPriority w:val="10"/>
    <w:qFormat/>
    <w:rsid w:val="00772B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B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4789">
      <w:bodyDiv w:val="1"/>
      <w:marLeft w:val="0"/>
      <w:marRight w:val="0"/>
      <w:marTop w:val="0"/>
      <w:marBottom w:val="0"/>
      <w:divBdr>
        <w:top w:val="none" w:sz="0" w:space="0" w:color="auto"/>
        <w:left w:val="none" w:sz="0" w:space="0" w:color="auto"/>
        <w:bottom w:val="none" w:sz="0" w:space="0" w:color="auto"/>
        <w:right w:val="none" w:sz="0" w:space="0" w:color="auto"/>
      </w:divBdr>
    </w:div>
    <w:div w:id="862716258">
      <w:bodyDiv w:val="1"/>
      <w:marLeft w:val="0"/>
      <w:marRight w:val="0"/>
      <w:marTop w:val="0"/>
      <w:marBottom w:val="0"/>
      <w:divBdr>
        <w:top w:val="none" w:sz="0" w:space="0" w:color="auto"/>
        <w:left w:val="none" w:sz="0" w:space="0" w:color="auto"/>
        <w:bottom w:val="none" w:sz="0" w:space="0" w:color="auto"/>
        <w:right w:val="none" w:sz="0" w:space="0" w:color="auto"/>
      </w:divBdr>
    </w:div>
    <w:div w:id="11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Gormley@dot.ohio.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dot.state.oh.us/Divisions/Finance/Auditing/Templates%20and%20Tools/Paycheck%20Protection%20Program%20(PPP)%20Certification.pdf" TargetMode="External"/><Relationship Id="rId4" Type="http://schemas.openxmlformats.org/officeDocument/2006/relationships/settings" Target="settings.xml"/><Relationship Id="rId9" Type="http://schemas.openxmlformats.org/officeDocument/2006/relationships/image" Target="cid:image001.jpg@01D7262B.FD85C2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B51B99AE433749A441E746BA5A567F" ma:contentTypeVersion="1" ma:contentTypeDescription="Create a new document." ma:contentTypeScope="" ma:versionID="7a40ed95de982d77b998b40be8597ead">
  <xsd:schema xmlns:xsd="http://www.w3.org/2001/XMLSchema" xmlns:xs="http://www.w3.org/2001/XMLSchema" xmlns:p="http://schemas.microsoft.com/office/2006/metadata/properties" xmlns:ns2="6a978725-5a88-4cdf-a27e-fd2564ea02c0" targetNamespace="http://schemas.microsoft.com/office/2006/metadata/properties" ma:root="true" ma:fieldsID="84554b46c1a5768c6cefbddf1f5e35ac" ns2:_="">
    <xsd:import namespace="6a978725-5a88-4cdf-a27e-fd2564ea02c0"/>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78725-5a88-4cdf-a27e-fd2564ea02c0"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6a978725-5a88-4cdf-a27e-fd2564ea02c0" xsi:nil="true"/>
  </documentManagement>
</p:properties>
</file>

<file path=customXml/itemProps1.xml><?xml version="1.0" encoding="utf-8"?>
<ds:datastoreItem xmlns:ds="http://schemas.openxmlformats.org/officeDocument/2006/customXml" ds:itemID="{9FE787BF-20D3-4C0D-BD33-B02135C2860C}">
  <ds:schemaRefs>
    <ds:schemaRef ds:uri="http://schemas.openxmlformats.org/officeDocument/2006/bibliography"/>
  </ds:schemaRefs>
</ds:datastoreItem>
</file>

<file path=customXml/itemProps2.xml><?xml version="1.0" encoding="utf-8"?>
<ds:datastoreItem xmlns:ds="http://schemas.openxmlformats.org/officeDocument/2006/customXml" ds:itemID="{75C23A4E-7DC1-482A-8917-FAE79219FA23}"/>
</file>

<file path=customXml/itemProps3.xml><?xml version="1.0" encoding="utf-8"?>
<ds:datastoreItem xmlns:ds="http://schemas.openxmlformats.org/officeDocument/2006/customXml" ds:itemID="{082A4A7A-82D5-49FC-BD19-A023424A4644}"/>
</file>

<file path=customXml/itemProps4.xml><?xml version="1.0" encoding="utf-8"?>
<ds:datastoreItem xmlns:ds="http://schemas.openxmlformats.org/officeDocument/2006/customXml" ds:itemID="{42CC32F2-4643-4F21-A90D-3326D7797CB4}"/>
</file>

<file path=docProps/app.xml><?xml version="1.0" encoding="utf-8"?>
<Properties xmlns="http://schemas.openxmlformats.org/officeDocument/2006/extended-properties" xmlns:vt="http://schemas.openxmlformats.org/officeDocument/2006/docPropsVTypes">
  <Template>Normal.dotm</Template>
  <TotalTime>106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FORMAT-AUDIT BULLETIN 084-21</dc:title>
  <dc:subject/>
  <dc:creator>Knoche, Randy - DOT</dc:creator>
  <cp:keywords/>
  <dc:description/>
  <cp:lastModifiedBy>Gormley, Scot</cp:lastModifiedBy>
  <cp:revision>5</cp:revision>
  <dcterms:created xsi:type="dcterms:W3CDTF">2021-04-01T12:13:00Z</dcterms:created>
  <dcterms:modified xsi:type="dcterms:W3CDTF">2021-04-01T13:58:00Z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0x0101001CB51B99AE433749A441E746BA5A567F</vt:lpwstr>
  </property>
</Properties>
</file>